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6A3D5" w14:textId="77777777" w:rsidR="00E34973" w:rsidRDefault="00E34973" w:rsidP="007B276A">
      <w:pPr>
        <w:rPr>
          <w:rFonts w:ascii="Times New Roman" w:hAnsi="Times New Roman" w:cs="Times New Roman"/>
          <w:b/>
          <w:bCs/>
          <w:sz w:val="20"/>
          <w:szCs w:val="20"/>
        </w:rPr>
      </w:pPr>
      <w:r>
        <w:rPr>
          <w:rFonts w:ascii="Times New Roman" w:hAnsi="Times New Roman" w:cs="Times New Roman"/>
          <w:b/>
          <w:bCs/>
          <w:sz w:val="20"/>
          <w:szCs w:val="20"/>
        </w:rPr>
        <w:t>Annex II</w:t>
      </w:r>
    </w:p>
    <w:p w14:paraId="232B0900" w14:textId="66780BF3" w:rsidR="007B276A" w:rsidRPr="0073170E" w:rsidRDefault="007B276A" w:rsidP="007B276A">
      <w:pPr>
        <w:rPr>
          <w:rFonts w:ascii="Times New Roman" w:hAnsi="Times New Roman" w:cs="Times New Roman"/>
          <w:b/>
          <w:bCs/>
          <w:sz w:val="20"/>
          <w:szCs w:val="20"/>
        </w:rPr>
      </w:pPr>
      <w:r w:rsidRPr="0073170E">
        <w:rPr>
          <w:rFonts w:ascii="Times New Roman" w:hAnsi="Times New Roman" w:cs="Times New Roman"/>
          <w:b/>
          <w:bCs/>
          <w:sz w:val="20"/>
          <w:szCs w:val="20"/>
        </w:rPr>
        <w:t>S.23.01.</w:t>
      </w:r>
      <w:r w:rsidRPr="0073170E">
        <w:rPr>
          <w:rFonts w:ascii="Times New Roman" w:hAnsi="Times New Roman" w:cs="Times New Roman"/>
          <w:b/>
          <w:sz w:val="20"/>
          <w:szCs w:val="20"/>
        </w:rPr>
        <w:t xml:space="preserve"> O</w:t>
      </w:r>
      <w:r w:rsidRPr="0073170E">
        <w:rPr>
          <w:rFonts w:ascii="Times New Roman" w:hAnsi="Times New Roman" w:cs="Times New Roman"/>
          <w:b/>
          <w:bCs/>
          <w:sz w:val="20"/>
          <w:szCs w:val="20"/>
        </w:rPr>
        <w:t xml:space="preserve">wn Funds </w:t>
      </w:r>
    </w:p>
    <w:p w14:paraId="47D43825" w14:textId="77777777" w:rsidR="007B276A" w:rsidRPr="0073170E" w:rsidRDefault="007B276A" w:rsidP="007B276A">
      <w:pPr>
        <w:rPr>
          <w:rFonts w:ascii="Times New Roman" w:hAnsi="Times New Roman" w:cs="Times New Roman"/>
          <w:b/>
          <w:sz w:val="20"/>
          <w:szCs w:val="20"/>
        </w:rPr>
      </w:pPr>
      <w:r w:rsidRPr="0073170E">
        <w:rPr>
          <w:rFonts w:ascii="Times New Roman" w:hAnsi="Times New Roman" w:cs="Times New Roman"/>
          <w:b/>
          <w:sz w:val="20"/>
          <w:szCs w:val="20"/>
        </w:rPr>
        <w:t xml:space="preserve">General comments: </w:t>
      </w:r>
    </w:p>
    <w:p w14:paraId="337ABEA1" w14:textId="27CC287B" w:rsidR="007B276A" w:rsidRPr="0073170E" w:rsidRDefault="007B276A" w:rsidP="007B276A">
      <w:pPr>
        <w:jc w:val="both"/>
        <w:rPr>
          <w:rFonts w:ascii="Times New Roman" w:hAnsi="Times New Roman" w:cs="Times New Roman"/>
          <w:sz w:val="20"/>
          <w:szCs w:val="20"/>
        </w:rPr>
      </w:pPr>
      <w:r w:rsidRPr="0073170E">
        <w:rPr>
          <w:rFonts w:ascii="Times New Roman" w:hAnsi="Times New Roman" w:cs="Times New Roman"/>
          <w:sz w:val="20"/>
          <w:szCs w:val="20"/>
        </w:rPr>
        <w:t>This Annex contains additional instructions in relation to the templates included in Annex I of th</w:t>
      </w:r>
      <w:r w:rsidR="0073170E">
        <w:rPr>
          <w:rFonts w:ascii="Times New Roman" w:hAnsi="Times New Roman" w:cs="Times New Roman"/>
          <w:sz w:val="20"/>
          <w:szCs w:val="20"/>
        </w:rPr>
        <w:t>is Regulation</w:t>
      </w:r>
      <w:r w:rsidRPr="0073170E">
        <w:rPr>
          <w:rFonts w:ascii="Times New Roman" w:hAnsi="Times New Roman" w:cs="Times New Roman"/>
          <w:sz w:val="20"/>
          <w:szCs w:val="20"/>
        </w:rPr>
        <w:t xml:space="preserve">. The first column of the next table identifies the items to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by row and column number, as shown in the template in Annex I.</w:t>
      </w:r>
    </w:p>
    <w:p w14:paraId="1F2A85E0" w14:textId="00156B94"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sidR="009A41EC">
        <w:rPr>
          <w:rFonts w:ascii="Times New Roman" w:hAnsi="Times New Roman" w:cs="Times New Roman"/>
          <w:sz w:val="20"/>
          <w:szCs w:val="20"/>
        </w:rPr>
        <w:t>third country branches</w:t>
      </w:r>
      <w:r w:rsidRPr="00646A9F">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73170E">
        <w:trPr>
          <w:gridAfter w:val="1"/>
          <w:wAfter w:w="7" w:type="dxa"/>
          <w:trHeight w:val="300"/>
        </w:trPr>
        <w:tc>
          <w:tcPr>
            <w:tcW w:w="1843" w:type="dxa"/>
            <w:hideMark/>
          </w:tcPr>
          <w:p w14:paraId="36355F30" w14:textId="66433341" w:rsidR="00244DA3" w:rsidRPr="0073170E" w:rsidRDefault="00244DA3" w:rsidP="0073170E">
            <w:pPr>
              <w:jc w:val="center"/>
              <w:rPr>
                <w:rFonts w:ascii="Times New Roman" w:hAnsi="Times New Roman" w:cs="Times New Roman"/>
                <w:b/>
                <w:bCs/>
                <w:sz w:val="20"/>
                <w:szCs w:val="20"/>
              </w:rPr>
            </w:pPr>
          </w:p>
        </w:tc>
        <w:tc>
          <w:tcPr>
            <w:tcW w:w="2835" w:type="dxa"/>
            <w:hideMark/>
          </w:tcPr>
          <w:p w14:paraId="38918EC8"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ITEM</w:t>
            </w:r>
          </w:p>
        </w:tc>
        <w:tc>
          <w:tcPr>
            <w:tcW w:w="4529" w:type="dxa"/>
            <w:hideMark/>
          </w:tcPr>
          <w:p w14:paraId="431F729C"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INSTRUCTIONS</w:t>
            </w:r>
          </w:p>
        </w:tc>
      </w:tr>
      <w:tr w:rsidR="00E66805" w:rsidRPr="0049475B" w14:paraId="657157A1" w14:textId="77777777" w:rsidTr="0049475B">
        <w:trPr>
          <w:gridAfter w:val="1"/>
          <w:wAfter w:w="7" w:type="dxa"/>
          <w:trHeight w:val="316"/>
        </w:trPr>
        <w:tc>
          <w:tcPr>
            <w:tcW w:w="9207" w:type="dxa"/>
            <w:gridSpan w:val="3"/>
            <w:vAlign w:val="center"/>
          </w:tcPr>
          <w:p w14:paraId="0BAF76E8" w14:textId="24C6D9E8" w:rsidR="00E66805" w:rsidRPr="00683465" w:rsidRDefault="00E66805" w:rsidP="0049475B">
            <w:pPr>
              <w:spacing w:before="120" w:after="120"/>
              <w:rPr>
                <w:rFonts w:ascii="Times New Roman" w:hAnsi="Times New Roman" w:cs="Times New Roman"/>
                <w:b/>
                <w:sz w:val="20"/>
                <w:szCs w:val="20"/>
              </w:rPr>
            </w:pPr>
            <w:r w:rsidRPr="00683465">
              <w:rPr>
                <w:rFonts w:ascii="Times New Roman" w:hAnsi="Times New Roman" w:cs="Times New Roman"/>
                <w:b/>
                <w:sz w:val="20"/>
                <w:szCs w:val="20"/>
              </w:rPr>
              <w:t>Basic own funds before deduction for participations in other financial sector</w:t>
            </w:r>
          </w:p>
        </w:tc>
      </w:tr>
      <w:tr w:rsidR="00016BE4" w:rsidRPr="007B276A" w14:paraId="34047249" w14:textId="77777777" w:rsidTr="0073170E">
        <w:trPr>
          <w:gridAfter w:val="1"/>
          <w:wAfter w:w="7" w:type="dxa"/>
          <w:trHeight w:val="1215"/>
        </w:trPr>
        <w:tc>
          <w:tcPr>
            <w:tcW w:w="1843" w:type="dxa"/>
            <w:hideMark/>
          </w:tcPr>
          <w:p w14:paraId="16676878" w14:textId="4043E97E"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R0130/C0010</w:t>
            </w:r>
          </w:p>
        </w:tc>
        <w:tc>
          <w:tcPr>
            <w:tcW w:w="2835" w:type="dxa"/>
            <w:hideMark/>
          </w:tcPr>
          <w:p w14:paraId="181F7007" w14:textId="4B529540"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Reconciliation reserve</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w:t>
            </w:r>
            <w:r w:rsidR="0049475B">
              <w:rPr>
                <w:rFonts w:ascii="Times New Roman" w:hAnsi="Times New Roman" w:cs="Times New Roman"/>
                <w:sz w:val="20"/>
                <w:szCs w:val="20"/>
              </w:rPr>
              <w:t>t</w:t>
            </w:r>
            <w:r w:rsidRPr="0073170E">
              <w:rPr>
                <w:rFonts w:ascii="Times New Roman" w:hAnsi="Times New Roman" w:cs="Times New Roman"/>
                <w:sz w:val="20"/>
                <w:szCs w:val="20"/>
              </w:rPr>
              <w:t>otal</w:t>
            </w:r>
          </w:p>
        </w:tc>
        <w:tc>
          <w:tcPr>
            <w:tcW w:w="4529" w:type="dxa"/>
            <w:hideMark/>
          </w:tcPr>
          <w:p w14:paraId="09198B5F" w14:textId="6A0AE47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w:t>
            </w:r>
            <w:r w:rsidR="009712BC">
              <w:rPr>
                <w:rFonts w:ascii="Times New Roman" w:hAnsi="Times New Roman" w:cs="Times New Roman"/>
                <w:sz w:val="20"/>
                <w:szCs w:val="20"/>
              </w:rPr>
              <w:t xml:space="preserve">total </w:t>
            </w:r>
            <w:r w:rsidRPr="0073170E">
              <w:rPr>
                <w:rFonts w:ascii="Times New Roman" w:hAnsi="Times New Roman" w:cs="Times New Roman"/>
                <w:sz w:val="20"/>
                <w:szCs w:val="20"/>
              </w:rPr>
              <w:t>reconciliation reserve represents reserves (e.g. retained earnings), net of adjustments (e.g. ring-fenced funds)</w:t>
            </w:r>
            <w:r w:rsidR="009712BC">
              <w:rPr>
                <w:rFonts w:ascii="Times New Roman" w:hAnsi="Times New Roman" w:cs="Times New Roman"/>
                <w:sz w:val="20"/>
                <w:szCs w:val="20"/>
              </w:rPr>
              <w:t>. It results mainly from</w:t>
            </w:r>
            <w:r w:rsidRPr="0073170E">
              <w:rPr>
                <w:rFonts w:ascii="Times New Roman" w:hAnsi="Times New Roman" w:cs="Times New Roman"/>
                <w:sz w:val="20"/>
                <w:szCs w:val="20"/>
              </w:rPr>
              <w:t xml:space="preserve"> differences between accounting valuation and valuation according to article 75 of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6582011C" w14:textId="77777777" w:rsidTr="0073170E">
        <w:trPr>
          <w:gridAfter w:val="1"/>
          <w:wAfter w:w="7" w:type="dxa"/>
          <w:trHeight w:val="1305"/>
        </w:trPr>
        <w:tc>
          <w:tcPr>
            <w:tcW w:w="1843" w:type="dxa"/>
            <w:hideMark/>
          </w:tcPr>
          <w:p w14:paraId="271DADB6" w14:textId="78CCDF3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R0130/C0020</w:t>
            </w:r>
          </w:p>
        </w:tc>
        <w:tc>
          <w:tcPr>
            <w:tcW w:w="2835" w:type="dxa"/>
            <w:hideMark/>
          </w:tcPr>
          <w:p w14:paraId="389DD777" w14:textId="0EAFC434"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 </w:t>
            </w:r>
            <w:r w:rsidR="0049475B">
              <w:rPr>
                <w:rFonts w:ascii="Times New Roman" w:hAnsi="Times New Roman" w:cs="Times New Roman"/>
                <w:sz w:val="20"/>
                <w:szCs w:val="20"/>
              </w:rPr>
              <w:t>t</w:t>
            </w:r>
            <w:r w:rsidRPr="0073170E">
              <w:rPr>
                <w:rFonts w:ascii="Times New Roman" w:hAnsi="Times New Roman" w:cs="Times New Roman"/>
                <w:sz w:val="20"/>
                <w:szCs w:val="20"/>
              </w:rPr>
              <w:t xml:space="preserve">ier 1 unrestricted </w:t>
            </w:r>
          </w:p>
        </w:tc>
        <w:tc>
          <w:tcPr>
            <w:tcW w:w="4529" w:type="dxa"/>
            <w:hideMark/>
          </w:tcPr>
          <w:p w14:paraId="1A5FBA7D" w14:textId="57AEE5F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reconciliation reserve represents reserves (e.g. retained earnings), net of adjustments (e.g. ring-fenced funds)</w:t>
            </w:r>
            <w:r w:rsidR="009712BC">
              <w:rPr>
                <w:rFonts w:ascii="Times New Roman" w:hAnsi="Times New Roman" w:cs="Times New Roman"/>
                <w:sz w:val="20"/>
                <w:szCs w:val="20"/>
              </w:rPr>
              <w:t>.</w:t>
            </w:r>
            <w:r w:rsidRPr="0073170E">
              <w:rPr>
                <w:rFonts w:ascii="Times New Roman" w:hAnsi="Times New Roman" w:cs="Times New Roman"/>
                <w:sz w:val="20"/>
                <w:szCs w:val="20"/>
              </w:rPr>
              <w:t xml:space="preserve"> </w:t>
            </w:r>
            <w:r w:rsidR="009712BC">
              <w:rPr>
                <w:rFonts w:ascii="Times New Roman" w:hAnsi="Times New Roman" w:cs="Times New Roman"/>
                <w:sz w:val="20"/>
                <w:szCs w:val="20"/>
              </w:rPr>
              <w:t>It results mainly from</w:t>
            </w:r>
            <w:r w:rsidRPr="0073170E">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w:t>
            </w:r>
            <w:proofErr w:type="gramStart"/>
            <w:r w:rsidR="00191029">
              <w:rPr>
                <w:rFonts w:ascii="Times New Roman" w:hAnsi="Times New Roman" w:cs="Times New Roman"/>
                <w:sz w:val="20"/>
                <w:szCs w:val="20"/>
              </w:rPr>
              <w:t>EC</w:t>
            </w:r>
            <w:r w:rsidRPr="0073170E">
              <w:rPr>
                <w:rStyle w:val="CommentReference"/>
                <w:rFonts w:ascii="Times New Roman" w:hAnsi="Times New Roman" w:cs="Times New Roman"/>
                <w:sz w:val="20"/>
                <w:szCs w:val="20"/>
              </w:rPr>
              <w:t xml:space="preserve"> </w:t>
            </w:r>
            <w:r w:rsidRPr="0073170E">
              <w:rPr>
                <w:rFonts w:ascii="Times New Roman" w:hAnsi="Times New Roman" w:cs="Times New Roman"/>
                <w:sz w:val="20"/>
                <w:szCs w:val="20"/>
              </w:rPr>
              <w:t>.</w:t>
            </w:r>
            <w:proofErr w:type="gramEnd"/>
            <w:r w:rsidRPr="0073170E">
              <w:rPr>
                <w:rFonts w:ascii="Times New Roman" w:hAnsi="Times New Roman" w:cs="Times New Roman"/>
                <w:sz w:val="20"/>
                <w:szCs w:val="20"/>
              </w:rPr>
              <w:t xml:space="preserve"> </w:t>
            </w:r>
          </w:p>
        </w:tc>
      </w:tr>
      <w:tr w:rsidR="00016BE4" w:rsidRPr="007B276A" w14:paraId="25F44563" w14:textId="77777777" w:rsidTr="0073170E">
        <w:trPr>
          <w:gridAfter w:val="1"/>
          <w:wAfter w:w="7" w:type="dxa"/>
          <w:trHeight w:val="735"/>
        </w:trPr>
        <w:tc>
          <w:tcPr>
            <w:tcW w:w="1843" w:type="dxa"/>
            <w:hideMark/>
          </w:tcPr>
          <w:p w14:paraId="182E174A" w14:textId="2C1D6C18"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R0160/C0010</w:t>
            </w:r>
          </w:p>
        </w:tc>
        <w:tc>
          <w:tcPr>
            <w:tcW w:w="2835" w:type="dxa"/>
            <w:hideMark/>
          </w:tcPr>
          <w:p w14:paraId="3B4024FC" w14:textId="334D7D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An amount equal to the value of net deferred tax assets - total</w:t>
            </w:r>
          </w:p>
        </w:tc>
        <w:tc>
          <w:tcPr>
            <w:tcW w:w="4529" w:type="dxa"/>
            <w:hideMark/>
          </w:tcPr>
          <w:p w14:paraId="3B0ABCA8" w14:textId="68CAF38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net deferred tax assets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w:t>
            </w:r>
          </w:p>
        </w:tc>
      </w:tr>
      <w:tr w:rsidR="00016BE4" w:rsidRPr="007B276A" w14:paraId="7813664B" w14:textId="77777777" w:rsidTr="0073170E">
        <w:trPr>
          <w:gridAfter w:val="1"/>
          <w:wAfter w:w="7" w:type="dxa"/>
          <w:trHeight w:val="735"/>
        </w:trPr>
        <w:tc>
          <w:tcPr>
            <w:tcW w:w="1843" w:type="dxa"/>
            <w:hideMark/>
          </w:tcPr>
          <w:p w14:paraId="29B6CCA5" w14:textId="70C09B7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R0160/C0050</w:t>
            </w:r>
          </w:p>
        </w:tc>
        <w:tc>
          <w:tcPr>
            <w:tcW w:w="2835" w:type="dxa"/>
            <w:hideMark/>
          </w:tcPr>
          <w:p w14:paraId="64D5AD7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An amount equal to the value of net deferred tax assets – tier 3 </w:t>
            </w:r>
          </w:p>
        </w:tc>
        <w:tc>
          <w:tcPr>
            <w:tcW w:w="4529" w:type="dxa"/>
            <w:hideMark/>
          </w:tcPr>
          <w:p w14:paraId="746C4156" w14:textId="7741D482" w:rsidR="00016BE4" w:rsidRPr="0073170E" w:rsidRDefault="00016BE4" w:rsidP="00D9002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net deferred tax assets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that meet the tier 3 classification criteria. </w:t>
            </w:r>
          </w:p>
        </w:tc>
      </w:tr>
      <w:tr w:rsidR="009712BC" w:rsidRPr="00C82502" w14:paraId="0A332301" w14:textId="77777777" w:rsidTr="006113BD">
        <w:trPr>
          <w:trHeight w:val="361"/>
        </w:trPr>
        <w:tc>
          <w:tcPr>
            <w:tcW w:w="9214" w:type="dxa"/>
            <w:gridSpan w:val="4"/>
          </w:tcPr>
          <w:p w14:paraId="2816B539" w14:textId="77777777" w:rsidR="009712BC" w:rsidRPr="00246EC4" w:rsidRDefault="009712BC" w:rsidP="00246EC4">
            <w:pPr>
              <w:spacing w:before="120" w:after="120"/>
              <w:rPr>
                <w:rFonts w:ascii="Times New Roman" w:hAnsi="Times New Roman" w:cs="Times New Roman"/>
                <w:b/>
                <w:sz w:val="20"/>
                <w:szCs w:val="20"/>
              </w:rPr>
            </w:pPr>
            <w:r w:rsidRPr="00246EC4">
              <w:rPr>
                <w:rFonts w:ascii="Times New Roman" w:hAnsi="Times New Roman" w:cs="Times New Roman"/>
                <w:b/>
                <w:sz w:val="20"/>
                <w:szCs w:val="20"/>
              </w:rPr>
              <w:t>Deductions</w:t>
            </w:r>
          </w:p>
        </w:tc>
      </w:tr>
      <w:tr w:rsidR="00DC58FA" w:rsidRPr="00DC58FA" w14:paraId="3865117E" w14:textId="77777777" w:rsidTr="006113BD">
        <w:trPr>
          <w:trHeight w:val="960"/>
        </w:trPr>
        <w:tc>
          <w:tcPr>
            <w:tcW w:w="1843" w:type="dxa"/>
            <w:hideMark/>
          </w:tcPr>
          <w:p w14:paraId="0A748314" w14:textId="31E02CCF"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R0230/C0010</w:t>
            </w:r>
          </w:p>
        </w:tc>
        <w:tc>
          <w:tcPr>
            <w:tcW w:w="2835" w:type="dxa"/>
            <w:hideMark/>
          </w:tcPr>
          <w:p w14:paraId="32D5497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724DEDAA" w:rsidR="00DC58FA" w:rsidRPr="0073170E" w:rsidRDefault="00DC58FA" w:rsidP="00DC58FA">
            <w:pPr>
              <w:rPr>
                <w:rFonts w:ascii="Times New Roman" w:hAnsi="Times New Roman" w:cs="Times New Roman"/>
                <w:sz w:val="20"/>
                <w:szCs w:val="20"/>
              </w:rPr>
            </w:pPr>
            <w:r w:rsidRPr="0073170E">
              <w:rPr>
                <w:rFonts w:ascii="Times New Roman" w:hAnsi="Times New Roman" w:cs="Times New Roman"/>
                <w:sz w:val="20"/>
                <w:szCs w:val="20"/>
              </w:rPr>
              <w:t>This is the total deduction for participations in financial and credit institutions</w:t>
            </w:r>
            <w:r w:rsidR="009712BC">
              <w:rPr>
                <w:rFonts w:ascii="Times New Roman" w:hAnsi="Times New Roman" w:cs="Times New Roman"/>
                <w:sz w:val="20"/>
                <w:szCs w:val="20"/>
              </w:rPr>
              <w:t xml:space="preserve"> in accordance with article 68 of </w:t>
            </w:r>
            <w:r w:rsidR="009712BC" w:rsidRPr="00CE5BB0">
              <w:rPr>
                <w:rFonts w:ascii="Times New Roman" w:hAnsi="Times New Roman" w:cs="Times New Roman"/>
                <w:sz w:val="20"/>
                <w:szCs w:val="20"/>
              </w:rPr>
              <w:t xml:space="preserve">Delegated </w:t>
            </w:r>
            <w:r w:rsidR="009712BC">
              <w:rPr>
                <w:rFonts w:ascii="Times New Roman" w:hAnsi="Times New Roman" w:cs="Times New Roman"/>
                <w:sz w:val="20"/>
                <w:szCs w:val="20"/>
              </w:rPr>
              <w:t>R</w:t>
            </w:r>
            <w:r w:rsidR="009712BC" w:rsidRPr="00CE5BB0">
              <w:rPr>
                <w:rFonts w:ascii="Times New Roman" w:hAnsi="Times New Roman" w:cs="Times New Roman"/>
                <w:sz w:val="20"/>
                <w:szCs w:val="20"/>
              </w:rPr>
              <w:t>egulation 2015/35</w:t>
            </w:r>
            <w:r w:rsidRPr="0073170E">
              <w:rPr>
                <w:rFonts w:ascii="Times New Roman" w:hAnsi="Times New Roman" w:cs="Times New Roman"/>
                <w:sz w:val="20"/>
                <w:szCs w:val="20"/>
              </w:rPr>
              <w:t xml:space="preserve">. </w:t>
            </w:r>
          </w:p>
        </w:tc>
      </w:tr>
      <w:tr w:rsidR="00DC58FA" w:rsidRPr="00DC58FA" w14:paraId="77F2284C" w14:textId="77777777" w:rsidTr="006113BD">
        <w:trPr>
          <w:trHeight w:val="1020"/>
        </w:trPr>
        <w:tc>
          <w:tcPr>
            <w:tcW w:w="1843" w:type="dxa"/>
            <w:hideMark/>
          </w:tcPr>
          <w:p w14:paraId="3D5D9757" w14:textId="50B8F0DA"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R0230/C0020</w:t>
            </w:r>
          </w:p>
        </w:tc>
        <w:tc>
          <w:tcPr>
            <w:tcW w:w="2835" w:type="dxa"/>
            <w:hideMark/>
          </w:tcPr>
          <w:p w14:paraId="4A83B64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6BB80073"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 unrestricted</w:t>
            </w:r>
            <w:r w:rsidR="009712BC">
              <w:rPr>
                <w:rFonts w:ascii="Times New Roman" w:hAnsi="Times New Roman" w:cs="Times New Roman"/>
                <w:sz w:val="20"/>
                <w:szCs w:val="20"/>
              </w:rPr>
              <w:t xml:space="preserve"> in accordance</w:t>
            </w:r>
            <w:proofErr w:type="gramEnd"/>
            <w:r w:rsidR="009712BC">
              <w:rPr>
                <w:rFonts w:ascii="Times New Roman" w:hAnsi="Times New Roman" w:cs="Times New Roman"/>
                <w:sz w:val="20"/>
                <w:szCs w:val="20"/>
              </w:rPr>
              <w:t xml:space="preserve"> with article 68 </w:t>
            </w:r>
            <w:r w:rsidR="009712BC" w:rsidRPr="00CE5BB0">
              <w:rPr>
                <w:rFonts w:ascii="Times New Roman" w:hAnsi="Times New Roman" w:cs="Times New Roman"/>
                <w:sz w:val="20"/>
                <w:szCs w:val="20"/>
              </w:rPr>
              <w:t xml:space="preserve">of Delegated </w:t>
            </w:r>
            <w:r w:rsidR="009712BC">
              <w:rPr>
                <w:rFonts w:ascii="Times New Roman" w:hAnsi="Times New Roman" w:cs="Times New Roman"/>
                <w:sz w:val="20"/>
                <w:szCs w:val="20"/>
              </w:rPr>
              <w:t>R</w:t>
            </w:r>
            <w:r w:rsidR="009712BC" w:rsidRPr="00CE5BB0">
              <w:rPr>
                <w:rFonts w:ascii="Times New Roman" w:hAnsi="Times New Roman" w:cs="Times New Roman"/>
                <w:sz w:val="20"/>
                <w:szCs w:val="20"/>
              </w:rPr>
              <w:t>egulation 2015/35</w:t>
            </w:r>
            <w:r w:rsidR="00E66805">
              <w:rPr>
                <w:rFonts w:ascii="Times New Roman" w:hAnsi="Times New Roman" w:cs="Times New Roman"/>
                <w:sz w:val="20"/>
                <w:szCs w:val="20"/>
              </w:rPr>
              <w:t>.</w:t>
            </w:r>
          </w:p>
        </w:tc>
      </w:tr>
      <w:tr w:rsidR="00DC58FA" w:rsidRPr="00DC58FA" w14:paraId="2723AA58" w14:textId="77777777" w:rsidTr="006113BD">
        <w:trPr>
          <w:trHeight w:val="1020"/>
        </w:trPr>
        <w:tc>
          <w:tcPr>
            <w:tcW w:w="1843" w:type="dxa"/>
            <w:hideMark/>
          </w:tcPr>
          <w:p w14:paraId="5C46F49F" w14:textId="1917678B"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R0230/C0030</w:t>
            </w:r>
          </w:p>
        </w:tc>
        <w:tc>
          <w:tcPr>
            <w:tcW w:w="2835" w:type="dxa"/>
            <w:hideMark/>
          </w:tcPr>
          <w:p w14:paraId="29235F9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
          <w:p w14:paraId="4D17DA6F" w14:textId="0CF63AEF"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 restricted</w:t>
            </w:r>
            <w:r w:rsidR="00953F05">
              <w:rPr>
                <w:rFonts w:ascii="Times New Roman" w:hAnsi="Times New Roman" w:cs="Times New Roman"/>
                <w:sz w:val="20"/>
                <w:szCs w:val="20"/>
              </w:rPr>
              <w:t xml:space="preserve"> in accordance</w:t>
            </w:r>
            <w:proofErr w:type="gramEnd"/>
            <w:r w:rsidR="00953F05">
              <w:rPr>
                <w:rFonts w:ascii="Times New Roman" w:hAnsi="Times New Roman" w:cs="Times New Roman"/>
                <w:sz w:val="20"/>
                <w:szCs w:val="20"/>
              </w:rPr>
              <w:t xml:space="preserve"> with article 68 </w:t>
            </w:r>
            <w:r w:rsidR="00953F05" w:rsidRPr="00CE5BB0">
              <w:rPr>
                <w:rFonts w:ascii="Times New Roman" w:hAnsi="Times New Roman" w:cs="Times New Roman"/>
                <w:sz w:val="20"/>
                <w:szCs w:val="20"/>
              </w:rPr>
              <w:t xml:space="preserve">of Delegated </w:t>
            </w:r>
            <w:r w:rsidR="00953F05">
              <w:rPr>
                <w:rFonts w:ascii="Times New Roman" w:hAnsi="Times New Roman" w:cs="Times New Roman"/>
                <w:sz w:val="20"/>
                <w:szCs w:val="20"/>
              </w:rPr>
              <w:t>R</w:t>
            </w:r>
            <w:r w:rsidR="00953F05" w:rsidRPr="00CE5BB0">
              <w:rPr>
                <w:rFonts w:ascii="Times New Roman" w:hAnsi="Times New Roman" w:cs="Times New Roman"/>
                <w:sz w:val="20"/>
                <w:szCs w:val="20"/>
              </w:rPr>
              <w:t>egulation 2015/35</w:t>
            </w:r>
            <w:r w:rsidR="004D4D61">
              <w:rPr>
                <w:rFonts w:ascii="Times New Roman" w:hAnsi="Times New Roman" w:cs="Times New Roman"/>
                <w:sz w:val="20"/>
                <w:szCs w:val="20"/>
              </w:rPr>
              <w:t>.</w:t>
            </w:r>
          </w:p>
        </w:tc>
      </w:tr>
      <w:tr w:rsidR="00DC58FA" w:rsidRPr="00DC58FA" w14:paraId="6B77B5A8" w14:textId="77777777" w:rsidTr="0049475B">
        <w:trPr>
          <w:trHeight w:val="346"/>
        </w:trPr>
        <w:tc>
          <w:tcPr>
            <w:tcW w:w="1843" w:type="dxa"/>
            <w:hideMark/>
          </w:tcPr>
          <w:p w14:paraId="33BC356D" w14:textId="4B741F89"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R0230/C0040</w:t>
            </w:r>
          </w:p>
        </w:tc>
        <w:tc>
          <w:tcPr>
            <w:tcW w:w="2835" w:type="dxa"/>
            <w:hideMark/>
          </w:tcPr>
          <w:p w14:paraId="565A78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Deduction for participations in financial and credit institutions - tier 2</w:t>
            </w:r>
          </w:p>
        </w:tc>
        <w:tc>
          <w:tcPr>
            <w:tcW w:w="4536" w:type="dxa"/>
            <w:gridSpan w:val="2"/>
            <w:hideMark/>
          </w:tcPr>
          <w:p w14:paraId="67BD7D2A" w14:textId="5D3F9FBD"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2</w:t>
            </w:r>
            <w:r w:rsidR="00953F05">
              <w:rPr>
                <w:rFonts w:ascii="Times New Roman" w:hAnsi="Times New Roman" w:cs="Times New Roman"/>
                <w:sz w:val="20"/>
                <w:szCs w:val="20"/>
              </w:rPr>
              <w:t xml:space="preserve"> in accordance with article 68 </w:t>
            </w:r>
            <w:r w:rsidR="00953F05" w:rsidRPr="00CE5BB0">
              <w:rPr>
                <w:rFonts w:ascii="Times New Roman" w:hAnsi="Times New Roman" w:cs="Times New Roman"/>
                <w:sz w:val="20"/>
                <w:szCs w:val="20"/>
              </w:rPr>
              <w:t xml:space="preserve">of Delegated </w:t>
            </w:r>
            <w:r w:rsidR="00953F05">
              <w:rPr>
                <w:rFonts w:ascii="Times New Roman" w:hAnsi="Times New Roman" w:cs="Times New Roman"/>
                <w:sz w:val="20"/>
                <w:szCs w:val="20"/>
              </w:rPr>
              <w:lastRenderedPageBreak/>
              <w:t>R</w:t>
            </w:r>
            <w:r w:rsidR="00953F05" w:rsidRPr="00CE5BB0">
              <w:rPr>
                <w:rFonts w:ascii="Times New Roman" w:hAnsi="Times New Roman" w:cs="Times New Roman"/>
                <w:sz w:val="20"/>
                <w:szCs w:val="20"/>
              </w:rPr>
              <w:t>egulation 2015/35</w:t>
            </w:r>
            <w:r w:rsidR="004D4D61">
              <w:rPr>
                <w:rFonts w:ascii="Times New Roman" w:hAnsi="Times New Roman" w:cs="Times New Roman"/>
                <w:sz w:val="20"/>
                <w:szCs w:val="20"/>
              </w:rPr>
              <w:t>.</w:t>
            </w:r>
          </w:p>
        </w:tc>
      </w:tr>
      <w:tr w:rsidR="00953F05" w:rsidRPr="00C82502" w14:paraId="3D6F7197" w14:textId="77777777" w:rsidTr="00246EC4">
        <w:trPr>
          <w:gridAfter w:val="1"/>
          <w:wAfter w:w="7" w:type="dxa"/>
          <w:trHeight w:val="414"/>
        </w:trPr>
        <w:tc>
          <w:tcPr>
            <w:tcW w:w="9207" w:type="dxa"/>
            <w:gridSpan w:val="3"/>
            <w:shd w:val="clear" w:color="auto" w:fill="auto"/>
          </w:tcPr>
          <w:p w14:paraId="5BE36390" w14:textId="77777777" w:rsidR="00953F05" w:rsidRPr="00246EC4" w:rsidRDefault="00953F05" w:rsidP="00246EC4">
            <w:pPr>
              <w:spacing w:before="120" w:after="120"/>
              <w:rPr>
                <w:rFonts w:ascii="Times New Roman" w:hAnsi="Times New Roman" w:cs="Times New Roman"/>
                <w:b/>
                <w:sz w:val="20"/>
                <w:szCs w:val="20"/>
              </w:rPr>
            </w:pPr>
            <w:r w:rsidRPr="00246EC4">
              <w:rPr>
                <w:rFonts w:ascii="Times New Roman" w:hAnsi="Times New Roman" w:cs="Times New Roman"/>
                <w:b/>
                <w:sz w:val="20"/>
                <w:szCs w:val="20"/>
              </w:rPr>
              <w:lastRenderedPageBreak/>
              <w:t>Total basic own funds after deductions</w:t>
            </w:r>
          </w:p>
        </w:tc>
      </w:tr>
      <w:tr w:rsidR="00016BE4" w:rsidRPr="007B276A" w14:paraId="2B0A24E5" w14:textId="77777777" w:rsidTr="0073170E">
        <w:trPr>
          <w:gridAfter w:val="1"/>
          <w:wAfter w:w="7" w:type="dxa"/>
          <w:trHeight w:val="728"/>
        </w:trPr>
        <w:tc>
          <w:tcPr>
            <w:tcW w:w="1843" w:type="dxa"/>
            <w:shd w:val="clear" w:color="auto" w:fill="auto"/>
          </w:tcPr>
          <w:p w14:paraId="1140028B" w14:textId="749E34B7"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R0290/C0010</w:t>
            </w:r>
          </w:p>
        </w:tc>
        <w:tc>
          <w:tcPr>
            <w:tcW w:w="2835" w:type="dxa"/>
            <w:shd w:val="clear" w:color="auto" w:fill="auto"/>
            <w:hideMark/>
          </w:tcPr>
          <w:p w14:paraId="5FAE3CE0" w14:textId="699F4C7D" w:rsidR="00016BE4" w:rsidRPr="0073170E" w:rsidRDefault="00016BE4" w:rsidP="003E3E9B">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1153C2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73170E">
        <w:trPr>
          <w:gridAfter w:val="1"/>
          <w:wAfter w:w="7" w:type="dxa"/>
          <w:trHeight w:val="872"/>
        </w:trPr>
        <w:tc>
          <w:tcPr>
            <w:tcW w:w="1843" w:type="dxa"/>
            <w:hideMark/>
          </w:tcPr>
          <w:p w14:paraId="1A4BBF10" w14:textId="0CEB3263"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R0290/C0020</w:t>
            </w:r>
          </w:p>
        </w:tc>
        <w:tc>
          <w:tcPr>
            <w:tcW w:w="2835" w:type="dxa"/>
            <w:hideMark/>
          </w:tcPr>
          <w:p w14:paraId="66ED7F0F" w14:textId="1C8F9DA9"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unrestricted </w:t>
            </w:r>
          </w:p>
        </w:tc>
        <w:tc>
          <w:tcPr>
            <w:tcW w:w="4529" w:type="dxa"/>
            <w:hideMark/>
          </w:tcPr>
          <w:p w14:paraId="40304FC5" w14:textId="6CE00959"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73170E">
        <w:trPr>
          <w:gridAfter w:val="1"/>
          <w:wAfter w:w="7" w:type="dxa"/>
          <w:trHeight w:val="1020"/>
        </w:trPr>
        <w:tc>
          <w:tcPr>
            <w:tcW w:w="1843" w:type="dxa"/>
            <w:hideMark/>
          </w:tcPr>
          <w:p w14:paraId="48B7ADC4" w14:textId="5C817128"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R0290/C0030</w:t>
            </w:r>
          </w:p>
        </w:tc>
        <w:tc>
          <w:tcPr>
            <w:tcW w:w="2835" w:type="dxa"/>
            <w:hideMark/>
          </w:tcPr>
          <w:p w14:paraId="4992090D" w14:textId="34AF1588"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restricted </w:t>
            </w:r>
          </w:p>
        </w:tc>
        <w:tc>
          <w:tcPr>
            <w:tcW w:w="4529" w:type="dxa"/>
            <w:hideMark/>
          </w:tcPr>
          <w:p w14:paraId="02721131" w14:textId="69D3868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73170E">
        <w:trPr>
          <w:gridAfter w:val="1"/>
          <w:wAfter w:w="7" w:type="dxa"/>
          <w:trHeight w:val="673"/>
        </w:trPr>
        <w:tc>
          <w:tcPr>
            <w:tcW w:w="1843" w:type="dxa"/>
            <w:tcBorders>
              <w:bottom w:val="single" w:sz="4" w:space="0" w:color="auto"/>
            </w:tcBorders>
            <w:hideMark/>
          </w:tcPr>
          <w:p w14:paraId="2952997A" w14:textId="4CC12E34"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R0290/C0040</w:t>
            </w:r>
          </w:p>
        </w:tc>
        <w:tc>
          <w:tcPr>
            <w:tcW w:w="2835" w:type="dxa"/>
            <w:tcBorders>
              <w:bottom w:val="single" w:sz="4" w:space="0" w:color="auto"/>
            </w:tcBorders>
            <w:hideMark/>
          </w:tcPr>
          <w:p w14:paraId="60D6B895" w14:textId="59CE430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72DDCCBA"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49475B">
        <w:trPr>
          <w:gridAfter w:val="1"/>
          <w:wAfter w:w="7" w:type="dxa"/>
          <w:trHeight w:val="657"/>
        </w:trPr>
        <w:tc>
          <w:tcPr>
            <w:tcW w:w="1843" w:type="dxa"/>
            <w:tcBorders>
              <w:bottom w:val="single" w:sz="4" w:space="0" w:color="auto"/>
            </w:tcBorders>
            <w:hideMark/>
          </w:tcPr>
          <w:p w14:paraId="62E1522E" w14:textId="09AA99FA"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R0290/C0050</w:t>
            </w:r>
          </w:p>
        </w:tc>
        <w:tc>
          <w:tcPr>
            <w:tcW w:w="2835" w:type="dxa"/>
            <w:tcBorders>
              <w:bottom w:val="single" w:sz="4" w:space="0" w:color="auto"/>
            </w:tcBorders>
            <w:hideMark/>
          </w:tcPr>
          <w:p w14:paraId="791A992E" w14:textId="67DB005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4203DEE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3.</w:t>
            </w:r>
          </w:p>
        </w:tc>
      </w:tr>
      <w:tr w:rsidR="00016BE4" w:rsidRPr="0049475B" w14:paraId="179F7041" w14:textId="77777777" w:rsidTr="0049475B">
        <w:trPr>
          <w:gridAfter w:val="1"/>
          <w:wAfter w:w="7" w:type="dxa"/>
          <w:trHeight w:val="457"/>
        </w:trPr>
        <w:tc>
          <w:tcPr>
            <w:tcW w:w="9207" w:type="dxa"/>
            <w:gridSpan w:val="3"/>
            <w:tcBorders>
              <w:top w:val="single" w:sz="4" w:space="0" w:color="auto"/>
              <w:left w:val="single" w:sz="4" w:space="0" w:color="auto"/>
              <w:bottom w:val="single" w:sz="4" w:space="0" w:color="auto"/>
              <w:right w:val="single" w:sz="4" w:space="0" w:color="auto"/>
            </w:tcBorders>
            <w:vAlign w:val="center"/>
            <w:hideMark/>
          </w:tcPr>
          <w:p w14:paraId="5CB7F0D8" w14:textId="6D4FC53C" w:rsidR="00016BE4" w:rsidRPr="0049475B" w:rsidRDefault="00016BE4" w:rsidP="0073170E">
            <w:pPr>
              <w:spacing w:before="120" w:after="120"/>
              <w:rPr>
                <w:rFonts w:ascii="Times New Roman" w:hAnsi="Times New Roman" w:cs="Times New Roman"/>
                <w:b/>
                <w:sz w:val="20"/>
                <w:szCs w:val="20"/>
              </w:rPr>
            </w:pPr>
            <w:r w:rsidRPr="0049475B">
              <w:rPr>
                <w:rFonts w:ascii="Times New Roman" w:hAnsi="Times New Roman" w:cs="Times New Roman"/>
                <w:b/>
                <w:sz w:val="20"/>
                <w:szCs w:val="20"/>
              </w:rPr>
              <w:t> Ancillary own funds</w:t>
            </w:r>
          </w:p>
        </w:tc>
      </w:tr>
      <w:tr w:rsidR="00016BE4" w:rsidRPr="007B276A" w14:paraId="24577E17" w14:textId="77777777" w:rsidTr="0049475B">
        <w:trPr>
          <w:gridAfter w:val="1"/>
          <w:wAfter w:w="7" w:type="dxa"/>
          <w:trHeight w:val="1406"/>
        </w:trPr>
        <w:tc>
          <w:tcPr>
            <w:tcW w:w="1843" w:type="dxa"/>
            <w:hideMark/>
          </w:tcPr>
          <w:p w14:paraId="4C93239F" w14:textId="3FB41E6C"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R0340/C0010</w:t>
            </w:r>
          </w:p>
        </w:tc>
        <w:tc>
          <w:tcPr>
            <w:tcW w:w="2835" w:type="dxa"/>
            <w:hideMark/>
          </w:tcPr>
          <w:p w14:paraId="43CA6C9E" w14:textId="293475F0"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Pr="0073170E">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total</w:t>
            </w:r>
          </w:p>
        </w:tc>
        <w:tc>
          <w:tcPr>
            <w:tcW w:w="4529" w:type="dxa"/>
            <w:hideMark/>
          </w:tcPr>
          <w:p w14:paraId="47B5CBC7" w14:textId="504E9CD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 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35261AC2" w14:textId="77777777" w:rsidTr="0073170E">
        <w:trPr>
          <w:gridAfter w:val="1"/>
          <w:wAfter w:w="7" w:type="dxa"/>
          <w:trHeight w:val="1545"/>
        </w:trPr>
        <w:tc>
          <w:tcPr>
            <w:tcW w:w="1843" w:type="dxa"/>
            <w:hideMark/>
          </w:tcPr>
          <w:p w14:paraId="7C846AE7" w14:textId="4526F75C"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R0340/C0040</w:t>
            </w:r>
          </w:p>
        </w:tc>
        <w:tc>
          <w:tcPr>
            <w:tcW w:w="2835" w:type="dxa"/>
            <w:hideMark/>
          </w:tcPr>
          <w:p w14:paraId="7F062690" w14:textId="40D1574C"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tier 2</w:t>
            </w:r>
          </w:p>
        </w:tc>
        <w:tc>
          <w:tcPr>
            <w:tcW w:w="4529" w:type="dxa"/>
            <w:hideMark/>
          </w:tcPr>
          <w:p w14:paraId="2A024BE3" w14:textId="298BFE65"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 that meet the criteria for Tier 2.</w:t>
            </w:r>
          </w:p>
        </w:tc>
      </w:tr>
      <w:tr w:rsidR="00016BE4" w:rsidRPr="007B276A" w14:paraId="2A9F3B24" w14:textId="77777777" w:rsidTr="0073170E">
        <w:trPr>
          <w:gridAfter w:val="1"/>
          <w:wAfter w:w="7" w:type="dxa"/>
          <w:trHeight w:val="1545"/>
        </w:trPr>
        <w:tc>
          <w:tcPr>
            <w:tcW w:w="1843" w:type="dxa"/>
            <w:hideMark/>
          </w:tcPr>
          <w:p w14:paraId="723C14D5" w14:textId="29AFF27F"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R0350/C0010</w:t>
            </w:r>
          </w:p>
        </w:tc>
        <w:tc>
          <w:tcPr>
            <w:tcW w:w="2835" w:type="dxa"/>
            <w:hideMark/>
          </w:tcPr>
          <w:p w14:paraId="05F8173C" w14:textId="3A0ED288"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total</w:t>
            </w:r>
          </w:p>
        </w:tc>
        <w:tc>
          <w:tcPr>
            <w:tcW w:w="4529" w:type="dxa"/>
            <w:hideMark/>
          </w:tcPr>
          <w:p w14:paraId="19A002FC" w14:textId="21E782E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40BE0814" w14:textId="77777777" w:rsidTr="0073170E">
        <w:trPr>
          <w:gridAfter w:val="1"/>
          <w:wAfter w:w="7" w:type="dxa"/>
          <w:trHeight w:val="1530"/>
        </w:trPr>
        <w:tc>
          <w:tcPr>
            <w:tcW w:w="1843" w:type="dxa"/>
            <w:hideMark/>
          </w:tcPr>
          <w:p w14:paraId="2C9F4FD3" w14:textId="2B96877F"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R0350/C0040</w:t>
            </w:r>
          </w:p>
        </w:tc>
        <w:tc>
          <w:tcPr>
            <w:tcW w:w="2835" w:type="dxa"/>
            <w:hideMark/>
          </w:tcPr>
          <w:p w14:paraId="76C62C16" w14:textId="7B6F766E"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2B96516A" w14:textId="7AAB296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r>
              <w:rPr>
                <w:rFonts w:ascii="Times New Roman" w:hAnsi="Times New Roman" w:cs="Times New Roman"/>
                <w:sz w:val="20"/>
                <w:szCs w:val="20"/>
              </w:rPr>
              <w:t>.</w:t>
            </w:r>
            <w:r w:rsidRPr="0073170E">
              <w:rPr>
                <w:rFonts w:ascii="Times New Roman" w:hAnsi="Times New Roman" w:cs="Times New Roman"/>
                <w:sz w:val="20"/>
                <w:szCs w:val="20"/>
              </w:rPr>
              <w:t xml:space="preserve"> </w:t>
            </w:r>
          </w:p>
        </w:tc>
      </w:tr>
      <w:tr w:rsidR="00016BE4" w:rsidRPr="007B276A" w14:paraId="15E78DF1" w14:textId="77777777" w:rsidTr="006113BD">
        <w:trPr>
          <w:gridAfter w:val="1"/>
          <w:wAfter w:w="7" w:type="dxa"/>
          <w:trHeight w:val="204"/>
        </w:trPr>
        <w:tc>
          <w:tcPr>
            <w:tcW w:w="1843" w:type="dxa"/>
            <w:hideMark/>
          </w:tcPr>
          <w:p w14:paraId="63F1114C" w14:textId="25EF48B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R0350/C0050</w:t>
            </w:r>
          </w:p>
        </w:tc>
        <w:tc>
          <w:tcPr>
            <w:tcW w:w="2835" w:type="dxa"/>
            <w:hideMark/>
          </w:tcPr>
          <w:p w14:paraId="32317850" w14:textId="739AE0C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3</w:t>
            </w:r>
          </w:p>
        </w:tc>
        <w:tc>
          <w:tcPr>
            <w:tcW w:w="4529" w:type="dxa"/>
            <w:hideMark/>
          </w:tcPr>
          <w:p w14:paraId="2EE15786" w14:textId="44B6ED02"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meet the criteria for Tier 3, other than those which are held in trust for the benefit of insurance creditors by an independent trustee and provided by </w:t>
            </w:r>
            <w:r w:rsidRPr="0073170E">
              <w:rPr>
                <w:rFonts w:ascii="Times New Roman" w:hAnsi="Times New Roman" w:cs="Times New Roman"/>
                <w:sz w:val="20"/>
                <w:szCs w:val="20"/>
              </w:rPr>
              <w:lastRenderedPageBreak/>
              <w:t xml:space="preserve">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69A3686C" w14:textId="77777777" w:rsidTr="0073170E">
        <w:trPr>
          <w:gridAfter w:val="1"/>
          <w:wAfter w:w="7" w:type="dxa"/>
          <w:trHeight w:val="734"/>
        </w:trPr>
        <w:tc>
          <w:tcPr>
            <w:tcW w:w="1843" w:type="dxa"/>
            <w:hideMark/>
          </w:tcPr>
          <w:p w14:paraId="1DD601BC" w14:textId="1CF0A94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R0390/C0010</w:t>
            </w:r>
          </w:p>
        </w:tc>
        <w:tc>
          <w:tcPr>
            <w:tcW w:w="2835" w:type="dxa"/>
            <w:hideMark/>
          </w:tcPr>
          <w:p w14:paraId="360D3BA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total</w:t>
            </w:r>
          </w:p>
        </w:tc>
        <w:tc>
          <w:tcPr>
            <w:tcW w:w="4529" w:type="dxa"/>
            <w:hideMark/>
          </w:tcPr>
          <w:p w14:paraId="4BB13DF9" w14:textId="334D8DD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other ancillary own funds.</w:t>
            </w:r>
          </w:p>
        </w:tc>
      </w:tr>
      <w:tr w:rsidR="00016BE4" w:rsidRPr="007B276A" w14:paraId="450F55B9" w14:textId="77777777" w:rsidTr="0073170E">
        <w:trPr>
          <w:gridAfter w:val="1"/>
          <w:wAfter w:w="7" w:type="dxa"/>
          <w:trHeight w:val="771"/>
        </w:trPr>
        <w:tc>
          <w:tcPr>
            <w:tcW w:w="1843" w:type="dxa"/>
            <w:hideMark/>
          </w:tcPr>
          <w:p w14:paraId="76D4B4B6" w14:textId="705AA51D"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R0390/C0040</w:t>
            </w:r>
          </w:p>
        </w:tc>
        <w:tc>
          <w:tcPr>
            <w:tcW w:w="2835" w:type="dxa"/>
            <w:hideMark/>
          </w:tcPr>
          <w:p w14:paraId="5925954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2</w:t>
            </w:r>
          </w:p>
        </w:tc>
        <w:tc>
          <w:tcPr>
            <w:tcW w:w="4529" w:type="dxa"/>
            <w:hideMark/>
          </w:tcPr>
          <w:p w14:paraId="11DC21F4" w14:textId="38AF2F88"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73170E">
        <w:trPr>
          <w:gridAfter w:val="1"/>
          <w:wAfter w:w="7" w:type="dxa"/>
          <w:trHeight w:val="771"/>
        </w:trPr>
        <w:tc>
          <w:tcPr>
            <w:tcW w:w="1843" w:type="dxa"/>
            <w:hideMark/>
          </w:tcPr>
          <w:p w14:paraId="72E7935C" w14:textId="4DF26011"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R0390/C0050</w:t>
            </w:r>
          </w:p>
        </w:tc>
        <w:tc>
          <w:tcPr>
            <w:tcW w:w="2835" w:type="dxa"/>
            <w:hideMark/>
          </w:tcPr>
          <w:p w14:paraId="390D18F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3</w:t>
            </w:r>
          </w:p>
        </w:tc>
        <w:tc>
          <w:tcPr>
            <w:tcW w:w="4529" w:type="dxa"/>
            <w:hideMark/>
          </w:tcPr>
          <w:p w14:paraId="4682E4BD" w14:textId="33BF4B06"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73170E">
        <w:trPr>
          <w:gridAfter w:val="1"/>
          <w:wAfter w:w="7" w:type="dxa"/>
          <w:trHeight w:val="683"/>
        </w:trPr>
        <w:tc>
          <w:tcPr>
            <w:tcW w:w="1843" w:type="dxa"/>
            <w:hideMark/>
          </w:tcPr>
          <w:p w14:paraId="3B6BD8EC" w14:textId="0FFFFED9"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R0400/C0010</w:t>
            </w:r>
          </w:p>
        </w:tc>
        <w:tc>
          <w:tcPr>
            <w:tcW w:w="2835" w:type="dxa"/>
            <w:hideMark/>
          </w:tcPr>
          <w:p w14:paraId="336DBA10" w14:textId="0B83EF55"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p>
        </w:tc>
        <w:tc>
          <w:tcPr>
            <w:tcW w:w="4529" w:type="dxa"/>
            <w:hideMark/>
          </w:tcPr>
          <w:p w14:paraId="1387D9F9" w14:textId="7C02938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ancillary own fund items.</w:t>
            </w:r>
          </w:p>
        </w:tc>
      </w:tr>
      <w:tr w:rsidR="00016BE4" w:rsidRPr="007B276A" w14:paraId="3A76EC97" w14:textId="77777777" w:rsidTr="0073170E">
        <w:trPr>
          <w:gridAfter w:val="1"/>
          <w:wAfter w:w="7" w:type="dxa"/>
          <w:trHeight w:val="706"/>
        </w:trPr>
        <w:tc>
          <w:tcPr>
            <w:tcW w:w="1843" w:type="dxa"/>
            <w:tcBorders>
              <w:bottom w:val="single" w:sz="4" w:space="0" w:color="auto"/>
            </w:tcBorders>
            <w:hideMark/>
          </w:tcPr>
          <w:p w14:paraId="625A925E" w14:textId="0EB8E3E3"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R0400/C0040</w:t>
            </w:r>
          </w:p>
        </w:tc>
        <w:tc>
          <w:tcPr>
            <w:tcW w:w="2835" w:type="dxa"/>
            <w:tcBorders>
              <w:bottom w:val="single" w:sz="4" w:space="0" w:color="auto"/>
            </w:tcBorders>
            <w:hideMark/>
          </w:tcPr>
          <w:p w14:paraId="47AE0B12" w14:textId="65AF6FAA"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tier 2</w:t>
            </w:r>
          </w:p>
        </w:tc>
        <w:tc>
          <w:tcPr>
            <w:tcW w:w="4529" w:type="dxa"/>
            <w:tcBorders>
              <w:bottom w:val="single" w:sz="4" w:space="0" w:color="auto"/>
            </w:tcBorders>
            <w:hideMark/>
          </w:tcPr>
          <w:p w14:paraId="7AEB9318" w14:textId="49FAB60A"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2. </w:t>
            </w:r>
          </w:p>
        </w:tc>
      </w:tr>
      <w:tr w:rsidR="00016BE4" w:rsidRPr="007B276A" w14:paraId="4F71B2FD" w14:textId="77777777" w:rsidTr="0073170E">
        <w:trPr>
          <w:gridAfter w:val="1"/>
          <w:wAfter w:w="7" w:type="dxa"/>
          <w:trHeight w:val="675"/>
        </w:trPr>
        <w:tc>
          <w:tcPr>
            <w:tcW w:w="1843" w:type="dxa"/>
            <w:tcBorders>
              <w:bottom w:val="single" w:sz="4" w:space="0" w:color="auto"/>
            </w:tcBorders>
            <w:hideMark/>
          </w:tcPr>
          <w:p w14:paraId="0254E141" w14:textId="7037CEFB"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R0400/C0050</w:t>
            </w:r>
          </w:p>
        </w:tc>
        <w:tc>
          <w:tcPr>
            <w:tcW w:w="2835" w:type="dxa"/>
            <w:tcBorders>
              <w:bottom w:val="single" w:sz="4" w:space="0" w:color="auto"/>
            </w:tcBorders>
            <w:hideMark/>
          </w:tcPr>
          <w:p w14:paraId="0D5230CA" w14:textId="57CD8DD4"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r w:rsidR="0049475B">
              <w:rPr>
                <w:rFonts w:ascii="Times New Roman" w:hAnsi="Times New Roman" w:cs="Times New Roman"/>
                <w:sz w:val="20"/>
                <w:szCs w:val="20"/>
              </w:rPr>
              <w:t>-</w:t>
            </w:r>
            <w:r w:rsidRPr="0073170E">
              <w:rPr>
                <w:rFonts w:ascii="Times New Roman" w:hAnsi="Times New Roman" w:cs="Times New Roman"/>
                <w:sz w:val="20"/>
                <w:szCs w:val="20"/>
              </w:rPr>
              <w:t xml:space="preserve"> tier 3 </w:t>
            </w:r>
          </w:p>
        </w:tc>
        <w:tc>
          <w:tcPr>
            <w:tcW w:w="4529" w:type="dxa"/>
            <w:tcBorders>
              <w:bottom w:val="single" w:sz="4" w:space="0" w:color="auto"/>
            </w:tcBorders>
            <w:hideMark/>
          </w:tcPr>
          <w:p w14:paraId="25267560" w14:textId="0A5A5C45"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3. </w:t>
            </w:r>
          </w:p>
        </w:tc>
      </w:tr>
      <w:tr w:rsidR="00C76D9F" w:rsidRPr="0049475B" w14:paraId="04654047" w14:textId="77777777" w:rsidTr="0073170E">
        <w:trPr>
          <w:trHeight w:val="423"/>
        </w:trPr>
        <w:tc>
          <w:tcPr>
            <w:tcW w:w="9214" w:type="dxa"/>
            <w:gridSpan w:val="4"/>
            <w:hideMark/>
          </w:tcPr>
          <w:p w14:paraId="5ABF9FE0" w14:textId="4BDC1F5B" w:rsidR="00C76D9F" w:rsidRPr="0049475B" w:rsidRDefault="00C76D9F" w:rsidP="0049475B">
            <w:pPr>
              <w:spacing w:before="120" w:after="120"/>
              <w:rPr>
                <w:rFonts w:ascii="Times New Roman" w:hAnsi="Times New Roman" w:cs="Times New Roman"/>
                <w:b/>
                <w:sz w:val="20"/>
                <w:szCs w:val="20"/>
              </w:rPr>
            </w:pPr>
            <w:r w:rsidRPr="0049475B">
              <w:rPr>
                <w:rFonts w:ascii="Times New Roman" w:hAnsi="Times New Roman" w:cs="Times New Roman"/>
                <w:b/>
                <w:sz w:val="20"/>
                <w:szCs w:val="20"/>
              </w:rPr>
              <w:t> Available and eligible own funds</w:t>
            </w:r>
          </w:p>
        </w:tc>
      </w:tr>
      <w:tr w:rsidR="00C76D9F" w:rsidRPr="00C76D9F" w14:paraId="3A3E924B" w14:textId="77777777" w:rsidTr="00C76D9F">
        <w:trPr>
          <w:trHeight w:val="1215"/>
        </w:trPr>
        <w:tc>
          <w:tcPr>
            <w:tcW w:w="1843" w:type="dxa"/>
            <w:hideMark/>
          </w:tcPr>
          <w:p w14:paraId="5AB720B5" w14:textId="33D6C20E"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R0500/C0010</w:t>
            </w:r>
          </w:p>
        </w:tc>
        <w:tc>
          <w:tcPr>
            <w:tcW w:w="2835" w:type="dxa"/>
            <w:hideMark/>
          </w:tcPr>
          <w:p w14:paraId="3E6E9B8B" w14:textId="7B5913C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w:t>
            </w:r>
            <w:r w:rsidR="00094EE2">
              <w:rPr>
                <w:rFonts w:ascii="Times New Roman" w:hAnsi="Times New Roman" w:cs="Times New Roman"/>
                <w:sz w:val="20"/>
                <w:szCs w:val="20"/>
              </w:rPr>
              <w:t>able own funds to meet the SCR</w:t>
            </w:r>
          </w:p>
        </w:tc>
        <w:tc>
          <w:tcPr>
            <w:tcW w:w="4536" w:type="dxa"/>
            <w:gridSpan w:val="2"/>
            <w:hideMark/>
          </w:tcPr>
          <w:p w14:paraId="03C1BB64" w14:textId="49C203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094EE2">
        <w:trPr>
          <w:trHeight w:val="871"/>
        </w:trPr>
        <w:tc>
          <w:tcPr>
            <w:tcW w:w="1843" w:type="dxa"/>
            <w:hideMark/>
          </w:tcPr>
          <w:p w14:paraId="5E003EE0" w14:textId="3D25B2E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R0500/C0020</w:t>
            </w:r>
          </w:p>
        </w:tc>
        <w:tc>
          <w:tcPr>
            <w:tcW w:w="2835" w:type="dxa"/>
            <w:hideMark/>
          </w:tcPr>
          <w:p w14:paraId="4A78F3C3" w14:textId="3E33DC19"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1 unrestricted </w:t>
            </w:r>
          </w:p>
        </w:tc>
        <w:tc>
          <w:tcPr>
            <w:tcW w:w="4536" w:type="dxa"/>
            <w:gridSpan w:val="2"/>
            <w:hideMark/>
          </w:tcPr>
          <w:p w14:paraId="1D2C5842" w14:textId="0CE9E753"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unrestricted items and that are theref</w:t>
            </w:r>
            <w:r w:rsidR="00094EE2">
              <w:rPr>
                <w:rFonts w:ascii="Times New Roman" w:hAnsi="Times New Roman" w:cs="Times New Roman"/>
                <w:sz w:val="20"/>
                <w:szCs w:val="20"/>
              </w:rPr>
              <w:t>ore available to meet the SCR.</w:t>
            </w:r>
          </w:p>
        </w:tc>
      </w:tr>
      <w:tr w:rsidR="00C76D9F" w:rsidRPr="00C76D9F" w14:paraId="2AE0E74E" w14:textId="77777777" w:rsidTr="00C76D9F">
        <w:trPr>
          <w:trHeight w:val="949"/>
        </w:trPr>
        <w:tc>
          <w:tcPr>
            <w:tcW w:w="1843" w:type="dxa"/>
            <w:hideMark/>
          </w:tcPr>
          <w:p w14:paraId="61DAF825" w14:textId="5A61869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R0500/C0030</w:t>
            </w:r>
          </w:p>
        </w:tc>
        <w:tc>
          <w:tcPr>
            <w:tcW w:w="2835" w:type="dxa"/>
            <w:hideMark/>
          </w:tcPr>
          <w:p w14:paraId="286E8BBE" w14:textId="20B41C60"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1 restricted </w:t>
            </w:r>
          </w:p>
        </w:tc>
        <w:tc>
          <w:tcPr>
            <w:tcW w:w="4536" w:type="dxa"/>
            <w:gridSpan w:val="2"/>
            <w:hideMark/>
          </w:tcPr>
          <w:p w14:paraId="33F3CBDF" w14:textId="51DDC6A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73170E">
        <w:trPr>
          <w:trHeight w:val="1290"/>
        </w:trPr>
        <w:tc>
          <w:tcPr>
            <w:tcW w:w="1843" w:type="dxa"/>
            <w:hideMark/>
          </w:tcPr>
          <w:p w14:paraId="2332ECB3" w14:textId="3359CE78"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R0500/C0040</w:t>
            </w:r>
          </w:p>
        </w:tc>
        <w:tc>
          <w:tcPr>
            <w:tcW w:w="2835" w:type="dxa"/>
            <w:hideMark/>
          </w:tcPr>
          <w:p w14:paraId="73AF419A" w14:textId="30BE126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w:t>
            </w:r>
            <w:r w:rsidR="00094EE2">
              <w:rPr>
                <w:rFonts w:ascii="Times New Roman" w:hAnsi="Times New Roman" w:cs="Times New Roman"/>
                <w:sz w:val="20"/>
                <w:szCs w:val="20"/>
              </w:rPr>
              <w:t>able own funds to meet the SCR -</w:t>
            </w:r>
            <w:r w:rsidRPr="0073170E">
              <w:rPr>
                <w:rFonts w:ascii="Times New Roman" w:hAnsi="Times New Roman" w:cs="Times New Roman"/>
                <w:sz w:val="20"/>
                <w:szCs w:val="20"/>
              </w:rPr>
              <w:t xml:space="preserve"> tier 2</w:t>
            </w:r>
          </w:p>
        </w:tc>
        <w:tc>
          <w:tcPr>
            <w:tcW w:w="4536" w:type="dxa"/>
            <w:gridSpan w:val="2"/>
            <w:hideMark/>
          </w:tcPr>
          <w:p w14:paraId="2574A217" w14:textId="229282CD"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73170E">
        <w:trPr>
          <w:trHeight w:val="1260"/>
        </w:trPr>
        <w:tc>
          <w:tcPr>
            <w:tcW w:w="1843" w:type="dxa"/>
            <w:hideMark/>
          </w:tcPr>
          <w:p w14:paraId="4BCE3C5E" w14:textId="3A131A99"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R0500/C0050</w:t>
            </w:r>
          </w:p>
        </w:tc>
        <w:tc>
          <w:tcPr>
            <w:tcW w:w="2835" w:type="dxa"/>
            <w:hideMark/>
          </w:tcPr>
          <w:p w14:paraId="41EEBFF5" w14:textId="1336EBB0"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3</w:t>
            </w:r>
          </w:p>
        </w:tc>
        <w:tc>
          <w:tcPr>
            <w:tcW w:w="4536" w:type="dxa"/>
            <w:gridSpan w:val="2"/>
            <w:hideMark/>
          </w:tcPr>
          <w:p w14:paraId="7F4703B9" w14:textId="390113A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73170E">
        <w:trPr>
          <w:trHeight w:val="1005"/>
        </w:trPr>
        <w:tc>
          <w:tcPr>
            <w:tcW w:w="1843" w:type="dxa"/>
            <w:hideMark/>
          </w:tcPr>
          <w:p w14:paraId="1750E98D" w14:textId="4872571B"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R0510/C0010</w:t>
            </w:r>
          </w:p>
        </w:tc>
        <w:tc>
          <w:tcPr>
            <w:tcW w:w="2835" w:type="dxa"/>
            <w:hideMark/>
          </w:tcPr>
          <w:p w14:paraId="161C780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73170E">
        <w:trPr>
          <w:trHeight w:val="1215"/>
        </w:trPr>
        <w:tc>
          <w:tcPr>
            <w:tcW w:w="1843" w:type="dxa"/>
            <w:hideMark/>
          </w:tcPr>
          <w:p w14:paraId="68982CB7" w14:textId="4341600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R0510/C0020</w:t>
            </w:r>
          </w:p>
        </w:tc>
        <w:tc>
          <w:tcPr>
            <w:tcW w:w="2835" w:type="dxa"/>
            <w:hideMark/>
          </w:tcPr>
          <w:p w14:paraId="30F853DB" w14:textId="6CD12F16"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41B5B733" w14:textId="61D1C478"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73170E">
        <w:trPr>
          <w:trHeight w:val="1245"/>
        </w:trPr>
        <w:tc>
          <w:tcPr>
            <w:tcW w:w="1843" w:type="dxa"/>
            <w:hideMark/>
          </w:tcPr>
          <w:p w14:paraId="2FF64E24" w14:textId="1B39F115"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R0510/C0030</w:t>
            </w:r>
          </w:p>
        </w:tc>
        <w:tc>
          <w:tcPr>
            <w:tcW w:w="2835" w:type="dxa"/>
            <w:hideMark/>
          </w:tcPr>
          <w:p w14:paraId="17207AC5" w14:textId="1C131C3D"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54129A2D" w14:textId="3A82238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6113BD">
        <w:trPr>
          <w:trHeight w:val="1058"/>
        </w:trPr>
        <w:tc>
          <w:tcPr>
            <w:tcW w:w="1843" w:type="dxa"/>
            <w:hideMark/>
          </w:tcPr>
          <w:p w14:paraId="2F72D3C6" w14:textId="551D4098"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R0510/C0040</w:t>
            </w:r>
          </w:p>
        </w:tc>
        <w:tc>
          <w:tcPr>
            <w:tcW w:w="2835" w:type="dxa"/>
            <w:hideMark/>
          </w:tcPr>
          <w:p w14:paraId="63333037" w14:textId="26678945"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3DCD98CB" w14:textId="666BD9F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73170E">
        <w:trPr>
          <w:trHeight w:val="735"/>
        </w:trPr>
        <w:tc>
          <w:tcPr>
            <w:tcW w:w="1843" w:type="dxa"/>
            <w:hideMark/>
          </w:tcPr>
          <w:p w14:paraId="5B44B3AE" w14:textId="6575625D"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R0540/C0010</w:t>
            </w:r>
          </w:p>
        </w:tc>
        <w:tc>
          <w:tcPr>
            <w:tcW w:w="2835" w:type="dxa"/>
            <w:hideMark/>
          </w:tcPr>
          <w:p w14:paraId="75AE141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6113BD">
        <w:trPr>
          <w:trHeight w:val="704"/>
        </w:trPr>
        <w:tc>
          <w:tcPr>
            <w:tcW w:w="1843" w:type="dxa"/>
            <w:hideMark/>
          </w:tcPr>
          <w:p w14:paraId="621EAE05" w14:textId="2CB9DB1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R0540/C0020</w:t>
            </w:r>
          </w:p>
        </w:tc>
        <w:tc>
          <w:tcPr>
            <w:tcW w:w="2835" w:type="dxa"/>
            <w:hideMark/>
          </w:tcPr>
          <w:p w14:paraId="4E06ED67" w14:textId="153A966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7ACE5E5C" w14:textId="575395C1"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SCR. </w:t>
            </w:r>
          </w:p>
        </w:tc>
      </w:tr>
      <w:tr w:rsidR="00B00BBB" w:rsidRPr="00C76D9F" w14:paraId="0B24E767" w14:textId="77777777" w:rsidTr="006113BD">
        <w:trPr>
          <w:trHeight w:val="733"/>
        </w:trPr>
        <w:tc>
          <w:tcPr>
            <w:tcW w:w="1843" w:type="dxa"/>
            <w:hideMark/>
          </w:tcPr>
          <w:p w14:paraId="61E42C16" w14:textId="43A03EE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R0540/C0030</w:t>
            </w:r>
          </w:p>
        </w:tc>
        <w:tc>
          <w:tcPr>
            <w:tcW w:w="2835" w:type="dxa"/>
            <w:hideMark/>
          </w:tcPr>
          <w:p w14:paraId="097C292E" w14:textId="0F722B86"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7B446D60" w14:textId="11BE32A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SCR.</w:t>
            </w:r>
          </w:p>
        </w:tc>
      </w:tr>
      <w:tr w:rsidR="00B00BBB" w:rsidRPr="00C76D9F" w14:paraId="39B39895" w14:textId="77777777" w:rsidTr="006113BD">
        <w:trPr>
          <w:trHeight w:val="719"/>
        </w:trPr>
        <w:tc>
          <w:tcPr>
            <w:tcW w:w="1843" w:type="dxa"/>
            <w:hideMark/>
          </w:tcPr>
          <w:p w14:paraId="76FDF29F" w14:textId="604641F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R0540/C0040</w:t>
            </w:r>
          </w:p>
        </w:tc>
        <w:tc>
          <w:tcPr>
            <w:tcW w:w="2835" w:type="dxa"/>
            <w:hideMark/>
          </w:tcPr>
          <w:p w14:paraId="0751B9EC" w14:textId="52CEFE0C"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65564575" w14:textId="20AC88BE"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own fund items that are eligible to meet the SCR. </w:t>
            </w:r>
          </w:p>
        </w:tc>
      </w:tr>
      <w:tr w:rsidR="00B00BBB" w:rsidRPr="00C76D9F" w14:paraId="5D8D21D8" w14:textId="77777777" w:rsidTr="006113BD">
        <w:trPr>
          <w:trHeight w:val="828"/>
        </w:trPr>
        <w:tc>
          <w:tcPr>
            <w:tcW w:w="1843" w:type="dxa"/>
            <w:hideMark/>
          </w:tcPr>
          <w:p w14:paraId="7D3DA8A0" w14:textId="0D311ACB"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R0540/C0050</w:t>
            </w:r>
          </w:p>
        </w:tc>
        <w:tc>
          <w:tcPr>
            <w:tcW w:w="2835" w:type="dxa"/>
            <w:hideMark/>
          </w:tcPr>
          <w:p w14:paraId="417AF118" w14:textId="690B1670"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3</w:t>
            </w:r>
          </w:p>
        </w:tc>
        <w:tc>
          <w:tcPr>
            <w:tcW w:w="4536" w:type="dxa"/>
            <w:gridSpan w:val="2"/>
            <w:hideMark/>
          </w:tcPr>
          <w:p w14:paraId="24800002" w14:textId="160698FF"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3 own fund items that are eligible to meet the SCR. </w:t>
            </w:r>
          </w:p>
        </w:tc>
      </w:tr>
      <w:tr w:rsidR="00B00BBB" w:rsidRPr="00C76D9F" w14:paraId="57C18E02" w14:textId="77777777" w:rsidTr="0073170E">
        <w:trPr>
          <w:trHeight w:val="735"/>
        </w:trPr>
        <w:tc>
          <w:tcPr>
            <w:tcW w:w="1843" w:type="dxa"/>
            <w:hideMark/>
          </w:tcPr>
          <w:p w14:paraId="76FBD29B" w14:textId="73D91F90"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R0550/C0010</w:t>
            </w:r>
          </w:p>
        </w:tc>
        <w:tc>
          <w:tcPr>
            <w:tcW w:w="2835" w:type="dxa"/>
            <w:hideMark/>
          </w:tcPr>
          <w:p w14:paraId="35CB87A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6113BD">
        <w:trPr>
          <w:trHeight w:val="795"/>
        </w:trPr>
        <w:tc>
          <w:tcPr>
            <w:tcW w:w="1843" w:type="dxa"/>
            <w:hideMark/>
          </w:tcPr>
          <w:p w14:paraId="215BD85A" w14:textId="0A5B9F9A"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R0550/C0020</w:t>
            </w:r>
          </w:p>
        </w:tc>
        <w:tc>
          <w:tcPr>
            <w:tcW w:w="2835" w:type="dxa"/>
            <w:hideMark/>
          </w:tcPr>
          <w:p w14:paraId="5B87A7B8" w14:textId="70728F3A"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7E3A326E" w14:textId="16283C6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MCR. </w:t>
            </w:r>
          </w:p>
        </w:tc>
      </w:tr>
      <w:tr w:rsidR="00B00BBB" w:rsidRPr="00C76D9F" w14:paraId="1F396DED" w14:textId="77777777" w:rsidTr="006113BD">
        <w:trPr>
          <w:trHeight w:val="706"/>
        </w:trPr>
        <w:tc>
          <w:tcPr>
            <w:tcW w:w="1843" w:type="dxa"/>
            <w:hideMark/>
          </w:tcPr>
          <w:p w14:paraId="027C2248" w14:textId="6FD2E71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R0550/C0030</w:t>
            </w:r>
          </w:p>
        </w:tc>
        <w:tc>
          <w:tcPr>
            <w:tcW w:w="2835" w:type="dxa"/>
            <w:hideMark/>
          </w:tcPr>
          <w:p w14:paraId="6F3BCE30" w14:textId="35DE448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646203D2" w14:textId="20A276D1"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MCR.</w:t>
            </w:r>
          </w:p>
        </w:tc>
      </w:tr>
      <w:tr w:rsidR="00B00BBB" w:rsidRPr="00C76D9F" w14:paraId="4BFBA875" w14:textId="77777777" w:rsidTr="006113BD">
        <w:trPr>
          <w:trHeight w:val="789"/>
        </w:trPr>
        <w:tc>
          <w:tcPr>
            <w:tcW w:w="1843" w:type="dxa"/>
            <w:hideMark/>
          </w:tcPr>
          <w:p w14:paraId="62BEEDC9" w14:textId="6767CFA9"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R0550/C0040</w:t>
            </w:r>
          </w:p>
        </w:tc>
        <w:tc>
          <w:tcPr>
            <w:tcW w:w="2835" w:type="dxa"/>
            <w:hideMark/>
          </w:tcPr>
          <w:p w14:paraId="51B51E4C" w14:textId="01C5C42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2C582121" w14:textId="13B4EE4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basic own fund items that are eligible to meet the MCR. </w:t>
            </w:r>
          </w:p>
        </w:tc>
      </w:tr>
      <w:tr w:rsidR="00B00BBB" w:rsidRPr="00C76D9F" w14:paraId="4477A9C3" w14:textId="77777777" w:rsidTr="006113BD">
        <w:trPr>
          <w:trHeight w:val="346"/>
        </w:trPr>
        <w:tc>
          <w:tcPr>
            <w:tcW w:w="1843" w:type="dxa"/>
            <w:hideMark/>
          </w:tcPr>
          <w:p w14:paraId="45230E8F" w14:textId="1F5E66BD"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R0580/C0010</w:t>
            </w:r>
          </w:p>
        </w:tc>
        <w:tc>
          <w:tcPr>
            <w:tcW w:w="2835" w:type="dxa"/>
            <w:hideMark/>
          </w:tcPr>
          <w:p w14:paraId="6CF27025" w14:textId="02391332" w:rsidR="00B00BBB" w:rsidRPr="0073170E" w:rsidRDefault="00135415" w:rsidP="00C76D9F">
            <w:pPr>
              <w:rPr>
                <w:rFonts w:ascii="Times New Roman" w:hAnsi="Times New Roman" w:cs="Times New Roman"/>
                <w:sz w:val="20"/>
                <w:szCs w:val="20"/>
              </w:rPr>
            </w:pPr>
            <w:r w:rsidRPr="00135415">
              <w:rPr>
                <w:rFonts w:ascii="Times New Roman" w:hAnsi="Times New Roman" w:cs="Times New Roman"/>
                <w:sz w:val="20"/>
                <w:szCs w:val="20"/>
              </w:rPr>
              <w:t>Solvency capital requirement</w:t>
            </w:r>
          </w:p>
        </w:tc>
        <w:tc>
          <w:tcPr>
            <w:tcW w:w="4536" w:type="dxa"/>
            <w:gridSpan w:val="2"/>
            <w:hideMark/>
          </w:tcPr>
          <w:p w14:paraId="308867E6" w14:textId="77777777" w:rsidR="00B00BBB"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total SCR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as a whole and shall correspond to the SCR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on the relevant SCR template.</w:t>
            </w:r>
          </w:p>
          <w:p w14:paraId="2BC5205F" w14:textId="7C069DB5" w:rsidR="00953F05" w:rsidRPr="0073170E" w:rsidRDefault="00953F05" w:rsidP="00AD3709">
            <w:pPr>
              <w:rPr>
                <w:rFonts w:ascii="Times New Roman" w:hAnsi="Times New Roman" w:cs="Times New Roman"/>
                <w:sz w:val="20"/>
                <w:szCs w:val="20"/>
              </w:rPr>
            </w:pPr>
            <w:r w:rsidRPr="00246EC4">
              <w:rPr>
                <w:rFonts w:ascii="Times New Roman" w:hAnsi="Times New Roman" w:cs="Times New Roman"/>
                <w:sz w:val="20"/>
                <w:szCs w:val="20"/>
              </w:rPr>
              <w:t>For quarterly reporting this is the latest SCR to be calculated and reported in accordance with articles 103 to 127 of Directive 2009/138/EC, either the annual one or a more recent one in case the SCR has been recalculated (e.g. due to a change in risk profile), including capital add on.</w:t>
            </w:r>
          </w:p>
        </w:tc>
      </w:tr>
      <w:tr w:rsidR="00B00BBB" w:rsidRPr="00C76D9F" w14:paraId="7229F60A" w14:textId="77777777" w:rsidTr="0073170E">
        <w:trPr>
          <w:trHeight w:val="735"/>
        </w:trPr>
        <w:tc>
          <w:tcPr>
            <w:tcW w:w="1843" w:type="dxa"/>
            <w:hideMark/>
          </w:tcPr>
          <w:p w14:paraId="6A63ADE7" w14:textId="4B4AA80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R0600/C0010</w:t>
            </w:r>
          </w:p>
        </w:tc>
        <w:tc>
          <w:tcPr>
            <w:tcW w:w="2835" w:type="dxa"/>
            <w:hideMark/>
          </w:tcPr>
          <w:p w14:paraId="0D13794C" w14:textId="3C820939" w:rsidR="00B00BBB" w:rsidRPr="0073170E" w:rsidRDefault="00135415" w:rsidP="00C76D9F">
            <w:pPr>
              <w:rPr>
                <w:rFonts w:ascii="Times New Roman" w:hAnsi="Times New Roman" w:cs="Times New Roman"/>
                <w:sz w:val="20"/>
                <w:szCs w:val="20"/>
              </w:rPr>
            </w:pPr>
            <w:r w:rsidRPr="00135415">
              <w:rPr>
                <w:rFonts w:ascii="Times New Roman" w:hAnsi="Times New Roman" w:cs="Times New Roman"/>
                <w:sz w:val="20"/>
                <w:szCs w:val="20"/>
              </w:rPr>
              <w:t>Minimum Capital Requirement</w:t>
            </w:r>
            <w:r w:rsidR="00B00BBB" w:rsidRPr="0073170E">
              <w:rPr>
                <w:rFonts w:ascii="Times New Roman" w:hAnsi="Times New Roman" w:cs="Times New Roman"/>
                <w:sz w:val="20"/>
                <w:szCs w:val="20"/>
              </w:rPr>
              <w:t xml:space="preserve"> </w:t>
            </w:r>
          </w:p>
        </w:tc>
        <w:tc>
          <w:tcPr>
            <w:tcW w:w="4536" w:type="dxa"/>
            <w:gridSpan w:val="2"/>
            <w:hideMark/>
          </w:tcPr>
          <w:p w14:paraId="3F210E2F" w14:textId="4727B976"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MCR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and shall correspond to the total MCR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in </w:t>
            </w:r>
            <w:r w:rsidR="00AD3709">
              <w:rPr>
                <w:rFonts w:ascii="Times New Roman" w:hAnsi="Times New Roman" w:cs="Times New Roman"/>
                <w:sz w:val="20"/>
                <w:szCs w:val="20"/>
              </w:rPr>
              <w:t xml:space="preserve">the relevant MCR </w:t>
            </w:r>
            <w:r w:rsidRPr="0073170E">
              <w:rPr>
                <w:rFonts w:ascii="Times New Roman" w:hAnsi="Times New Roman" w:cs="Times New Roman"/>
                <w:sz w:val="20"/>
                <w:szCs w:val="20"/>
              </w:rPr>
              <w:t>template.</w:t>
            </w:r>
          </w:p>
        </w:tc>
      </w:tr>
      <w:tr w:rsidR="00B00BBB" w:rsidRPr="00C76D9F" w14:paraId="07B8B66E" w14:textId="77777777" w:rsidTr="0073170E">
        <w:trPr>
          <w:trHeight w:val="735"/>
        </w:trPr>
        <w:tc>
          <w:tcPr>
            <w:tcW w:w="1843" w:type="dxa"/>
            <w:hideMark/>
          </w:tcPr>
          <w:p w14:paraId="3DBE6DC8" w14:textId="1E0F01D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R0620/C0010</w:t>
            </w:r>
          </w:p>
        </w:tc>
        <w:tc>
          <w:tcPr>
            <w:tcW w:w="2835" w:type="dxa"/>
            <w:hideMark/>
          </w:tcPr>
          <w:p w14:paraId="4D8674D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SCR </w:t>
            </w:r>
          </w:p>
        </w:tc>
        <w:tc>
          <w:tcPr>
            <w:tcW w:w="4536" w:type="dxa"/>
            <w:gridSpan w:val="2"/>
            <w:hideMark/>
          </w:tcPr>
          <w:p w14:paraId="78DE6AEB" w14:textId="7D791DE3"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This is the</w:t>
            </w:r>
            <w:r w:rsidR="00953F05">
              <w:rPr>
                <w:rFonts w:ascii="Times New Roman" w:hAnsi="Times New Roman" w:cs="Times New Roman"/>
                <w:sz w:val="20"/>
                <w:szCs w:val="20"/>
              </w:rPr>
              <w:t xml:space="preserve"> solvency</w:t>
            </w:r>
            <w:r w:rsidRPr="0073170E">
              <w:rPr>
                <w:rFonts w:ascii="Times New Roman" w:hAnsi="Times New Roman" w:cs="Times New Roman"/>
                <w:sz w:val="20"/>
                <w:szCs w:val="20"/>
              </w:rPr>
              <w:t xml:space="preserve"> ratio</w:t>
            </w:r>
            <w:r w:rsidR="00953F05">
              <w:rPr>
                <w:rFonts w:ascii="Times New Roman" w:hAnsi="Times New Roman" w:cs="Times New Roman"/>
                <w:sz w:val="20"/>
                <w:szCs w:val="20"/>
              </w:rPr>
              <w:t xml:space="preserve"> calculated as the total</w:t>
            </w:r>
            <w:r w:rsidRPr="0073170E">
              <w:rPr>
                <w:rFonts w:ascii="Times New Roman" w:hAnsi="Times New Roman" w:cs="Times New Roman"/>
                <w:sz w:val="20"/>
                <w:szCs w:val="20"/>
              </w:rPr>
              <w:t xml:space="preserve"> eligible own funds </w:t>
            </w:r>
            <w:r w:rsidR="00953F05">
              <w:rPr>
                <w:rFonts w:ascii="Times New Roman" w:hAnsi="Times New Roman" w:cs="Times New Roman"/>
                <w:sz w:val="20"/>
                <w:szCs w:val="20"/>
              </w:rPr>
              <w:t>to meet the MCR divided by</w:t>
            </w:r>
            <w:r w:rsidRPr="0073170E">
              <w:rPr>
                <w:rFonts w:ascii="Times New Roman" w:hAnsi="Times New Roman" w:cs="Times New Roman"/>
                <w:sz w:val="20"/>
                <w:szCs w:val="20"/>
              </w:rPr>
              <w:t xml:space="preserve"> the SCR</w:t>
            </w:r>
            <w:r w:rsidR="00953F05">
              <w:rPr>
                <w:rFonts w:ascii="Times New Roman" w:hAnsi="Times New Roman" w:cs="Times New Roman"/>
                <w:sz w:val="20"/>
                <w:szCs w:val="20"/>
              </w:rPr>
              <w:t xml:space="preserve"> amount</w:t>
            </w:r>
            <w:r w:rsidRPr="0073170E">
              <w:rPr>
                <w:rFonts w:ascii="Times New Roman" w:hAnsi="Times New Roman" w:cs="Times New Roman"/>
                <w:sz w:val="20"/>
                <w:szCs w:val="20"/>
              </w:rPr>
              <w:t xml:space="preserve">. </w:t>
            </w:r>
          </w:p>
        </w:tc>
      </w:tr>
      <w:tr w:rsidR="00B00BBB" w:rsidRPr="00C76D9F" w14:paraId="2B747075" w14:textId="77777777" w:rsidTr="0073170E">
        <w:trPr>
          <w:trHeight w:val="735"/>
        </w:trPr>
        <w:tc>
          <w:tcPr>
            <w:tcW w:w="1843" w:type="dxa"/>
            <w:hideMark/>
          </w:tcPr>
          <w:p w14:paraId="030248C2" w14:textId="5B1EFCBE"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R0640/C0010</w:t>
            </w:r>
          </w:p>
        </w:tc>
        <w:tc>
          <w:tcPr>
            <w:tcW w:w="2835" w:type="dxa"/>
            <w:hideMark/>
          </w:tcPr>
          <w:p w14:paraId="09ADF4D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MCR </w:t>
            </w:r>
          </w:p>
        </w:tc>
        <w:tc>
          <w:tcPr>
            <w:tcW w:w="4536" w:type="dxa"/>
            <w:gridSpan w:val="2"/>
            <w:hideMark/>
          </w:tcPr>
          <w:p w14:paraId="466BAA63" w14:textId="07FA635F" w:rsidR="00B00BBB" w:rsidRPr="0073170E" w:rsidRDefault="00AD3709" w:rsidP="00AD3709">
            <w:pPr>
              <w:rPr>
                <w:rFonts w:ascii="Times New Roman" w:hAnsi="Times New Roman" w:cs="Times New Roman"/>
                <w:sz w:val="20"/>
                <w:szCs w:val="20"/>
              </w:rPr>
            </w:pPr>
            <w:r>
              <w:rPr>
                <w:rFonts w:ascii="Times New Roman" w:hAnsi="Times New Roman" w:cs="Times New Roman"/>
                <w:sz w:val="20"/>
                <w:szCs w:val="20"/>
              </w:rPr>
              <w:t>T</w:t>
            </w:r>
            <w:r w:rsidR="00B00BBB" w:rsidRPr="0073170E">
              <w:rPr>
                <w:rFonts w:ascii="Times New Roman" w:hAnsi="Times New Roman" w:cs="Times New Roman"/>
                <w:sz w:val="20"/>
                <w:szCs w:val="20"/>
              </w:rPr>
              <w:t>his is the</w:t>
            </w:r>
            <w:r w:rsidR="00953F05">
              <w:rPr>
                <w:rFonts w:ascii="Times New Roman" w:hAnsi="Times New Roman" w:cs="Times New Roman"/>
                <w:sz w:val="20"/>
                <w:szCs w:val="20"/>
              </w:rPr>
              <w:t xml:space="preserve"> MCR</w:t>
            </w:r>
            <w:r w:rsidR="00B00BBB" w:rsidRPr="0073170E">
              <w:rPr>
                <w:rFonts w:ascii="Times New Roman" w:hAnsi="Times New Roman" w:cs="Times New Roman"/>
                <w:sz w:val="20"/>
                <w:szCs w:val="20"/>
              </w:rPr>
              <w:t xml:space="preserve"> ratio </w:t>
            </w:r>
            <w:r w:rsidR="00953F05">
              <w:rPr>
                <w:rFonts w:ascii="Times New Roman" w:hAnsi="Times New Roman" w:cs="Times New Roman"/>
                <w:sz w:val="20"/>
                <w:szCs w:val="20"/>
              </w:rPr>
              <w:t>calculated as the total</w:t>
            </w:r>
            <w:r w:rsidR="00953F05" w:rsidRPr="0073170E" w:rsidDel="00953F05">
              <w:rPr>
                <w:rFonts w:ascii="Times New Roman" w:hAnsi="Times New Roman" w:cs="Times New Roman"/>
                <w:sz w:val="20"/>
                <w:szCs w:val="20"/>
              </w:rPr>
              <w:t xml:space="preserve"> </w:t>
            </w:r>
            <w:r w:rsidR="00B00BBB" w:rsidRPr="0073170E">
              <w:rPr>
                <w:rFonts w:ascii="Times New Roman" w:hAnsi="Times New Roman" w:cs="Times New Roman"/>
                <w:sz w:val="20"/>
                <w:szCs w:val="20"/>
              </w:rPr>
              <w:t xml:space="preserve">eligible own funds </w:t>
            </w:r>
            <w:r w:rsidR="00953F05">
              <w:rPr>
                <w:rFonts w:ascii="Times New Roman" w:hAnsi="Times New Roman" w:cs="Times New Roman"/>
                <w:sz w:val="20"/>
                <w:szCs w:val="20"/>
              </w:rPr>
              <w:t>to meet the MCR divided by</w:t>
            </w:r>
            <w:r w:rsidR="00953F05" w:rsidRPr="0073170E">
              <w:rPr>
                <w:rFonts w:ascii="Times New Roman" w:hAnsi="Times New Roman" w:cs="Times New Roman"/>
                <w:sz w:val="20"/>
                <w:szCs w:val="20"/>
              </w:rPr>
              <w:t xml:space="preserve"> the MCR</w:t>
            </w:r>
            <w:r w:rsidR="00953F05">
              <w:rPr>
                <w:rFonts w:ascii="Times New Roman" w:hAnsi="Times New Roman" w:cs="Times New Roman"/>
                <w:sz w:val="20"/>
                <w:szCs w:val="20"/>
              </w:rPr>
              <w:t xml:space="preserve"> amount</w:t>
            </w:r>
            <w:r w:rsidR="00953F05" w:rsidRPr="0073170E">
              <w:rPr>
                <w:rFonts w:ascii="Times New Roman" w:hAnsi="Times New Roman" w:cs="Times New Roman"/>
                <w:sz w:val="20"/>
                <w:szCs w:val="20"/>
              </w:rPr>
              <w:t>.</w:t>
            </w:r>
          </w:p>
        </w:tc>
      </w:tr>
      <w:tr w:rsidR="00016BE4" w:rsidRPr="00A72FD3" w14:paraId="47AE5C87" w14:textId="77777777" w:rsidTr="00A72FD3">
        <w:trPr>
          <w:gridAfter w:val="1"/>
          <w:wAfter w:w="7" w:type="dxa"/>
          <w:trHeight w:val="343"/>
        </w:trPr>
        <w:tc>
          <w:tcPr>
            <w:tcW w:w="9207" w:type="dxa"/>
            <w:gridSpan w:val="3"/>
            <w:tcBorders>
              <w:top w:val="single" w:sz="4" w:space="0" w:color="auto"/>
              <w:left w:val="single" w:sz="4" w:space="0" w:color="auto"/>
              <w:bottom w:val="single" w:sz="4" w:space="0" w:color="auto"/>
              <w:right w:val="single" w:sz="4" w:space="0" w:color="auto"/>
            </w:tcBorders>
            <w:hideMark/>
          </w:tcPr>
          <w:p w14:paraId="2D30E42D" w14:textId="188CD59D" w:rsidR="00016BE4" w:rsidRPr="00A72FD3" w:rsidRDefault="00016BE4" w:rsidP="0073170E">
            <w:pPr>
              <w:spacing w:before="120" w:after="120"/>
              <w:rPr>
                <w:rFonts w:ascii="Times New Roman" w:hAnsi="Times New Roman" w:cs="Times New Roman"/>
                <w:b/>
                <w:sz w:val="20"/>
                <w:szCs w:val="20"/>
              </w:rPr>
            </w:pPr>
            <w:r w:rsidRPr="00A72FD3">
              <w:rPr>
                <w:rFonts w:ascii="Times New Roman" w:hAnsi="Times New Roman" w:cs="Times New Roman"/>
                <w:b/>
                <w:sz w:val="20"/>
                <w:szCs w:val="20"/>
              </w:rPr>
              <w:t> Reconciliation Reserve </w:t>
            </w:r>
          </w:p>
        </w:tc>
      </w:tr>
      <w:tr w:rsidR="00016BE4" w:rsidRPr="00C76D9F" w14:paraId="5CC1B8A6" w14:textId="77777777" w:rsidTr="00A72FD3">
        <w:trPr>
          <w:gridAfter w:val="1"/>
          <w:wAfter w:w="7" w:type="dxa"/>
          <w:trHeight w:val="523"/>
        </w:trPr>
        <w:tc>
          <w:tcPr>
            <w:tcW w:w="1843" w:type="dxa"/>
            <w:tcBorders>
              <w:top w:val="single" w:sz="4" w:space="0" w:color="auto"/>
            </w:tcBorders>
            <w:hideMark/>
          </w:tcPr>
          <w:p w14:paraId="03FA7B6B" w14:textId="76EDBBB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R0700/C00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tcBorders>
              <w:top w:val="single" w:sz="4" w:space="0" w:color="auto"/>
            </w:tcBorders>
            <w:hideMark/>
          </w:tcPr>
          <w:p w14:paraId="3B5D5E2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7D5C85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excess of assets over liabilities as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w:t>
            </w:r>
            <w:r w:rsidRPr="00C76D9F">
              <w:rPr>
                <w:rFonts w:ascii="Times New Roman" w:hAnsi="Times New Roman" w:cs="Times New Roman"/>
                <w:sz w:val="20"/>
                <w:szCs w:val="20"/>
              </w:rPr>
              <w:t>i</w:t>
            </w:r>
            <w:r w:rsidRPr="0073170E">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3E92718F" w14:textId="77777777" w:rsidTr="0073170E">
        <w:trPr>
          <w:gridAfter w:val="1"/>
          <w:wAfter w:w="7" w:type="dxa"/>
          <w:trHeight w:val="1407"/>
        </w:trPr>
        <w:tc>
          <w:tcPr>
            <w:tcW w:w="1843" w:type="dxa"/>
            <w:hideMark/>
          </w:tcPr>
          <w:p w14:paraId="0F9ED889" w14:textId="49662BC6"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R0730/C00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5BE5B7E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basic own fund items </w:t>
            </w:r>
          </w:p>
        </w:tc>
        <w:tc>
          <w:tcPr>
            <w:tcW w:w="4529" w:type="dxa"/>
            <w:hideMark/>
          </w:tcPr>
          <w:p w14:paraId="16CC818B" w14:textId="6A6360CA" w:rsidR="00016BE4" w:rsidRPr="0073170E" w:rsidRDefault="00016BE4" w:rsidP="00D60CB5">
            <w:pPr>
              <w:rPr>
                <w:rFonts w:ascii="Times New Roman" w:hAnsi="Times New Roman" w:cs="Times New Roman"/>
                <w:sz w:val="20"/>
                <w:szCs w:val="20"/>
              </w:rPr>
            </w:pPr>
            <w:r w:rsidRPr="0073170E">
              <w:rPr>
                <w:rFonts w:ascii="Times New Roman" w:hAnsi="Times New Roman" w:cs="Times New Roman"/>
                <w:sz w:val="20"/>
                <w:szCs w:val="20"/>
              </w:rPr>
              <w:t>These are the basic own fund items included in points (a)(</w:t>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D60CB5" w:rsidRPr="00DB20F0">
              <w:rPr>
                <w:rFonts w:ascii="Times New Roman" w:hAnsi="Times New Roman" w:cs="Times New Roman"/>
                <w:sz w:val="20"/>
                <w:szCs w:val="20"/>
              </w:rPr>
              <w:t>Delegated Regulation 2015/35</w:t>
            </w:r>
            <w:bookmarkStart w:id="0" w:name="_GoBack"/>
            <w:bookmarkEnd w:id="0"/>
            <w:r w:rsidRPr="0073170E">
              <w:rPr>
                <w:rFonts w:ascii="Times New Roman" w:hAnsi="Times New Roman" w:cs="Times New Roman"/>
                <w:sz w:val="20"/>
                <w:szCs w:val="20"/>
              </w:rPr>
              <w:t xml:space="preserve">. </w:t>
            </w:r>
          </w:p>
        </w:tc>
      </w:tr>
      <w:tr w:rsidR="00016BE4" w:rsidRPr="00C76D9F" w14:paraId="2A6433E2" w14:textId="77777777" w:rsidTr="0073170E">
        <w:trPr>
          <w:gridAfter w:val="1"/>
          <w:wAfter w:w="7" w:type="dxa"/>
          <w:trHeight w:val="1288"/>
        </w:trPr>
        <w:tc>
          <w:tcPr>
            <w:tcW w:w="1843" w:type="dxa"/>
            <w:hideMark/>
          </w:tcPr>
          <w:p w14:paraId="1C4E2703" w14:textId="4A73BC6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R0740/C00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7D3B5E86" w14:textId="78B7741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45FA02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73170E">
        <w:trPr>
          <w:gridAfter w:val="1"/>
          <w:wAfter w:w="7" w:type="dxa"/>
          <w:trHeight w:val="735"/>
        </w:trPr>
        <w:tc>
          <w:tcPr>
            <w:tcW w:w="1843" w:type="dxa"/>
            <w:hideMark/>
          </w:tcPr>
          <w:p w14:paraId="372B31CE" w14:textId="1F51F87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R0760/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 xml:space="preserve">0 </w:t>
            </w:r>
          </w:p>
        </w:tc>
        <w:tc>
          <w:tcPr>
            <w:tcW w:w="2835" w:type="dxa"/>
            <w:hideMark/>
          </w:tcPr>
          <w:p w14:paraId="0F227B43" w14:textId="0E0899D0" w:rsidR="00016BE4" w:rsidRPr="0073170E" w:rsidRDefault="00016BE4" w:rsidP="00953F05">
            <w:pPr>
              <w:spacing w:after="0"/>
              <w:rPr>
                <w:rFonts w:ascii="Times New Roman" w:hAnsi="Times New Roman" w:cs="Times New Roman"/>
                <w:sz w:val="20"/>
                <w:szCs w:val="20"/>
              </w:rPr>
            </w:pPr>
            <w:r w:rsidRPr="0073170E">
              <w:rPr>
                <w:rFonts w:ascii="Times New Roman" w:hAnsi="Times New Roman" w:cs="Times New Roman"/>
                <w:sz w:val="20"/>
                <w:szCs w:val="20"/>
              </w:rPr>
              <w:t xml:space="preserve">Reconciliation reserve - total </w:t>
            </w:r>
          </w:p>
        </w:tc>
        <w:tc>
          <w:tcPr>
            <w:tcW w:w="4529" w:type="dxa"/>
            <w:hideMark/>
          </w:tcPr>
          <w:p w14:paraId="38DF817F" w14:textId="7B017F20" w:rsidR="00016BE4" w:rsidRPr="0073170E" w:rsidRDefault="00016BE4" w:rsidP="00D575FA">
            <w:pPr>
              <w:rPr>
                <w:rFonts w:ascii="Times New Roman" w:hAnsi="Times New Roman" w:cs="Times New Roman"/>
                <w:sz w:val="20"/>
                <w:szCs w:val="20"/>
              </w:rPr>
            </w:pPr>
            <w:r w:rsidRPr="0073170E">
              <w:rPr>
                <w:rFonts w:ascii="Times New Roman" w:hAnsi="Times New Roman" w:cs="Times New Roman"/>
                <w:sz w:val="20"/>
                <w:szCs w:val="20"/>
              </w:rPr>
              <w:t xml:space="preserve">This the reconciliation reserve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before </w:t>
            </w:r>
            <w:r w:rsidR="00953F05" w:rsidRPr="00DB20F0">
              <w:rPr>
                <w:rFonts w:ascii="Times New Roman" w:hAnsi="Times New Roman" w:cs="Times New Roman"/>
                <w:sz w:val="20"/>
                <w:szCs w:val="20"/>
              </w:rPr>
              <w:t>deduction for participations in other financial sector as foreseen in article 68 of Delegated Regulation 2015/35</w:t>
            </w:r>
            <w:r w:rsidRPr="0073170E">
              <w:rPr>
                <w:rFonts w:ascii="Times New Roman" w:hAnsi="Times New Roman" w:cs="Times New Roman"/>
                <w:sz w:val="20"/>
                <w:szCs w:val="20"/>
              </w:rPr>
              <w:t>.</w:t>
            </w:r>
          </w:p>
        </w:tc>
      </w:tr>
      <w:tr w:rsidR="00016BE4" w:rsidRPr="00C76D9F" w14:paraId="4BDFDFB2" w14:textId="77777777" w:rsidTr="0073170E">
        <w:trPr>
          <w:gridAfter w:val="1"/>
          <w:wAfter w:w="7" w:type="dxa"/>
          <w:trHeight w:val="1560"/>
        </w:trPr>
        <w:tc>
          <w:tcPr>
            <w:tcW w:w="1843" w:type="dxa"/>
            <w:hideMark/>
          </w:tcPr>
          <w:p w14:paraId="0A171BB9" w14:textId="0E03E509"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R0770/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338F4E0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Life business</w:t>
            </w:r>
          </w:p>
        </w:tc>
        <w:tc>
          <w:tcPr>
            <w:tcW w:w="4529" w:type="dxa"/>
            <w:hideMark/>
          </w:tcPr>
          <w:p w14:paraId="0C4EF37E" w14:textId="3FE0905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w:t>
            </w:r>
          </w:p>
        </w:tc>
      </w:tr>
      <w:tr w:rsidR="00016BE4" w:rsidRPr="007B276A" w14:paraId="7739E1F3" w14:textId="77777777" w:rsidTr="0073170E">
        <w:trPr>
          <w:gridAfter w:val="1"/>
          <w:wAfter w:w="7" w:type="dxa"/>
          <w:trHeight w:val="1395"/>
        </w:trPr>
        <w:tc>
          <w:tcPr>
            <w:tcW w:w="1843" w:type="dxa"/>
            <w:hideMark/>
          </w:tcPr>
          <w:p w14:paraId="129AC219" w14:textId="1C22FFAA"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R0780/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5614F22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Non- life business</w:t>
            </w:r>
          </w:p>
        </w:tc>
        <w:tc>
          <w:tcPr>
            <w:tcW w:w="4529" w:type="dxa"/>
            <w:hideMark/>
          </w:tcPr>
          <w:p w14:paraId="7C9B91EB" w14:textId="4C3AA49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w:t>
            </w:r>
          </w:p>
        </w:tc>
      </w:tr>
      <w:tr w:rsidR="00016BE4" w:rsidRPr="007B276A" w14:paraId="117DCBDC" w14:textId="77777777" w:rsidTr="0073170E">
        <w:trPr>
          <w:gridAfter w:val="1"/>
          <w:wAfter w:w="7" w:type="dxa"/>
          <w:trHeight w:val="753"/>
        </w:trPr>
        <w:tc>
          <w:tcPr>
            <w:tcW w:w="1843" w:type="dxa"/>
            <w:hideMark/>
          </w:tcPr>
          <w:p w14:paraId="05161133" w14:textId="26EA9E0D"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R0790/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3A9E734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Total Expected profits included in future premiums (EPIFP)</w:t>
            </w:r>
          </w:p>
        </w:tc>
        <w:tc>
          <w:tcPr>
            <w:tcW w:w="4529" w:type="dxa"/>
            <w:hideMark/>
          </w:tcPr>
          <w:p w14:paraId="6BB81EAD" w14:textId="0A1574D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73170E" w:rsidRDefault="002E6978" w:rsidP="006E09DD">
      <w:pPr>
        <w:rPr>
          <w:rFonts w:ascii="Times New Roman" w:hAnsi="Times New Roman" w:cs="Times New Roman"/>
          <w:sz w:val="20"/>
          <w:szCs w:val="20"/>
        </w:rPr>
      </w:pPr>
    </w:p>
    <w:sectPr w:rsidR="002E6978" w:rsidRPr="0073170E">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A1C7C" w14:textId="77777777" w:rsidR="00FF535A" w:rsidRDefault="00FF535A" w:rsidP="009054F5">
      <w:pPr>
        <w:spacing w:after="0" w:line="240" w:lineRule="auto"/>
      </w:pPr>
      <w:r>
        <w:separator/>
      </w:r>
    </w:p>
  </w:endnote>
  <w:endnote w:type="continuationSeparator" w:id="0">
    <w:p w14:paraId="393869B5" w14:textId="77777777" w:rsidR="00FF535A" w:rsidRDefault="00FF535A"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D048A" w14:textId="77777777" w:rsidR="00FF535A" w:rsidRDefault="00FF535A" w:rsidP="009054F5">
      <w:pPr>
        <w:spacing w:after="0" w:line="240" w:lineRule="auto"/>
      </w:pPr>
      <w:r>
        <w:separator/>
      </w:r>
    </w:p>
  </w:footnote>
  <w:footnote w:type="continuationSeparator" w:id="0">
    <w:p w14:paraId="130A2E29" w14:textId="77777777" w:rsidR="00FF535A" w:rsidRDefault="00FF535A"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538B6"/>
    <w:rsid w:val="0005659C"/>
    <w:rsid w:val="0005667D"/>
    <w:rsid w:val="00063009"/>
    <w:rsid w:val="00075043"/>
    <w:rsid w:val="00094EE2"/>
    <w:rsid w:val="000A11E0"/>
    <w:rsid w:val="000A70C8"/>
    <w:rsid w:val="000D3F65"/>
    <w:rsid w:val="000E6B65"/>
    <w:rsid w:val="00107FD8"/>
    <w:rsid w:val="00114F36"/>
    <w:rsid w:val="00115F5C"/>
    <w:rsid w:val="00120949"/>
    <w:rsid w:val="00130613"/>
    <w:rsid w:val="00133345"/>
    <w:rsid w:val="00135415"/>
    <w:rsid w:val="00187E55"/>
    <w:rsid w:val="00191029"/>
    <w:rsid w:val="001A0EDF"/>
    <w:rsid w:val="001A417E"/>
    <w:rsid w:val="001B7E02"/>
    <w:rsid w:val="001D559B"/>
    <w:rsid w:val="001F00CB"/>
    <w:rsid w:val="00211527"/>
    <w:rsid w:val="002138D7"/>
    <w:rsid w:val="002176E9"/>
    <w:rsid w:val="00217E71"/>
    <w:rsid w:val="0024005E"/>
    <w:rsid w:val="00240854"/>
    <w:rsid w:val="00244DA3"/>
    <w:rsid w:val="0024500F"/>
    <w:rsid w:val="00255C70"/>
    <w:rsid w:val="00267C02"/>
    <w:rsid w:val="0027250D"/>
    <w:rsid w:val="00272781"/>
    <w:rsid w:val="00272FA9"/>
    <w:rsid w:val="002A74F0"/>
    <w:rsid w:val="002B0B93"/>
    <w:rsid w:val="002B767D"/>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45A14"/>
    <w:rsid w:val="0046395B"/>
    <w:rsid w:val="00471833"/>
    <w:rsid w:val="004722C2"/>
    <w:rsid w:val="00475D5C"/>
    <w:rsid w:val="004826B2"/>
    <w:rsid w:val="00482B57"/>
    <w:rsid w:val="004863DB"/>
    <w:rsid w:val="004867BC"/>
    <w:rsid w:val="00490018"/>
    <w:rsid w:val="0049475B"/>
    <w:rsid w:val="004B451F"/>
    <w:rsid w:val="004D11F0"/>
    <w:rsid w:val="004D3F59"/>
    <w:rsid w:val="004D4D61"/>
    <w:rsid w:val="004E1081"/>
    <w:rsid w:val="004E354C"/>
    <w:rsid w:val="004E5CC9"/>
    <w:rsid w:val="004F02CE"/>
    <w:rsid w:val="005015FE"/>
    <w:rsid w:val="005033EE"/>
    <w:rsid w:val="00510B45"/>
    <w:rsid w:val="00531A35"/>
    <w:rsid w:val="00541E60"/>
    <w:rsid w:val="00545143"/>
    <w:rsid w:val="00556D91"/>
    <w:rsid w:val="00565B67"/>
    <w:rsid w:val="00574C40"/>
    <w:rsid w:val="00586AEE"/>
    <w:rsid w:val="005903D6"/>
    <w:rsid w:val="005C0B65"/>
    <w:rsid w:val="005C26C1"/>
    <w:rsid w:val="005D4638"/>
    <w:rsid w:val="005E07E8"/>
    <w:rsid w:val="005F09F1"/>
    <w:rsid w:val="0060498D"/>
    <w:rsid w:val="00610BBC"/>
    <w:rsid w:val="006113BD"/>
    <w:rsid w:val="00616AE2"/>
    <w:rsid w:val="00622143"/>
    <w:rsid w:val="00657182"/>
    <w:rsid w:val="00660A7A"/>
    <w:rsid w:val="006612A9"/>
    <w:rsid w:val="006627AD"/>
    <w:rsid w:val="00667916"/>
    <w:rsid w:val="00675571"/>
    <w:rsid w:val="006811AD"/>
    <w:rsid w:val="00696618"/>
    <w:rsid w:val="00696660"/>
    <w:rsid w:val="006C7D27"/>
    <w:rsid w:val="006E09DD"/>
    <w:rsid w:val="00714DDD"/>
    <w:rsid w:val="00716664"/>
    <w:rsid w:val="00722259"/>
    <w:rsid w:val="007267B9"/>
    <w:rsid w:val="0073170E"/>
    <w:rsid w:val="00742E66"/>
    <w:rsid w:val="00746905"/>
    <w:rsid w:val="007510B6"/>
    <w:rsid w:val="00753BA4"/>
    <w:rsid w:val="007602A3"/>
    <w:rsid w:val="00774FCD"/>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0F36"/>
    <w:rsid w:val="008E1F1B"/>
    <w:rsid w:val="008E2605"/>
    <w:rsid w:val="008E6856"/>
    <w:rsid w:val="008F7A51"/>
    <w:rsid w:val="009054F5"/>
    <w:rsid w:val="00911FB3"/>
    <w:rsid w:val="00914290"/>
    <w:rsid w:val="009158E7"/>
    <w:rsid w:val="0092225B"/>
    <w:rsid w:val="00930D4D"/>
    <w:rsid w:val="009358B5"/>
    <w:rsid w:val="009376A6"/>
    <w:rsid w:val="00944290"/>
    <w:rsid w:val="00953F05"/>
    <w:rsid w:val="00961D09"/>
    <w:rsid w:val="0096439B"/>
    <w:rsid w:val="0097077B"/>
    <w:rsid w:val="009712BC"/>
    <w:rsid w:val="00987866"/>
    <w:rsid w:val="00993A9A"/>
    <w:rsid w:val="009A41EC"/>
    <w:rsid w:val="009A7ADA"/>
    <w:rsid w:val="009C0852"/>
    <w:rsid w:val="009D41F0"/>
    <w:rsid w:val="009E7D2A"/>
    <w:rsid w:val="00A0210E"/>
    <w:rsid w:val="00A20007"/>
    <w:rsid w:val="00A435B6"/>
    <w:rsid w:val="00A43696"/>
    <w:rsid w:val="00A45D5A"/>
    <w:rsid w:val="00A61FB6"/>
    <w:rsid w:val="00A70D06"/>
    <w:rsid w:val="00A72D02"/>
    <w:rsid w:val="00A72FD3"/>
    <w:rsid w:val="00A76A31"/>
    <w:rsid w:val="00A80831"/>
    <w:rsid w:val="00AB486E"/>
    <w:rsid w:val="00AD3709"/>
    <w:rsid w:val="00AF0C43"/>
    <w:rsid w:val="00B00BBB"/>
    <w:rsid w:val="00B076D3"/>
    <w:rsid w:val="00B37709"/>
    <w:rsid w:val="00B425F1"/>
    <w:rsid w:val="00B524B2"/>
    <w:rsid w:val="00B63279"/>
    <w:rsid w:val="00B70CA7"/>
    <w:rsid w:val="00B83410"/>
    <w:rsid w:val="00B91AD6"/>
    <w:rsid w:val="00BB3DF8"/>
    <w:rsid w:val="00BC17FE"/>
    <w:rsid w:val="00BD7DE1"/>
    <w:rsid w:val="00BE6E7B"/>
    <w:rsid w:val="00BE7833"/>
    <w:rsid w:val="00BF6412"/>
    <w:rsid w:val="00C16C67"/>
    <w:rsid w:val="00C4780A"/>
    <w:rsid w:val="00C50B71"/>
    <w:rsid w:val="00C554ED"/>
    <w:rsid w:val="00C63E3F"/>
    <w:rsid w:val="00C76D9F"/>
    <w:rsid w:val="00C8404A"/>
    <w:rsid w:val="00CA1E03"/>
    <w:rsid w:val="00CA4497"/>
    <w:rsid w:val="00CB0E1D"/>
    <w:rsid w:val="00CB1412"/>
    <w:rsid w:val="00CD7687"/>
    <w:rsid w:val="00CE6730"/>
    <w:rsid w:val="00CE7BB5"/>
    <w:rsid w:val="00D00457"/>
    <w:rsid w:val="00D176BE"/>
    <w:rsid w:val="00D32D6D"/>
    <w:rsid w:val="00D510E4"/>
    <w:rsid w:val="00D575FA"/>
    <w:rsid w:val="00D60CB5"/>
    <w:rsid w:val="00D7726C"/>
    <w:rsid w:val="00D90026"/>
    <w:rsid w:val="00DB2CC9"/>
    <w:rsid w:val="00DC58FA"/>
    <w:rsid w:val="00DE2E69"/>
    <w:rsid w:val="00E17EA6"/>
    <w:rsid w:val="00E245FB"/>
    <w:rsid w:val="00E34973"/>
    <w:rsid w:val="00E371F4"/>
    <w:rsid w:val="00E5033C"/>
    <w:rsid w:val="00E6348F"/>
    <w:rsid w:val="00E66805"/>
    <w:rsid w:val="00E66B4F"/>
    <w:rsid w:val="00E738B1"/>
    <w:rsid w:val="00E838A7"/>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2134"/>
    <w:rsid w:val="00FF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627CB-0436-481C-9F18-7FA5E4D0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1849</Words>
  <Characters>10540</Characters>
  <Application>Microsoft Office Word</Application>
  <DocSecurity>0</DocSecurity>
  <Lines>87</Lines>
  <Paragraphs>24</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12365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ATM</cp:lastModifiedBy>
  <cp:revision>5</cp:revision>
  <cp:lastPrinted>2014-10-23T17:25:00Z</cp:lastPrinted>
  <dcterms:created xsi:type="dcterms:W3CDTF">2015-06-29T11:49:00Z</dcterms:created>
  <dcterms:modified xsi:type="dcterms:W3CDTF">2015-09-02T15:06:00Z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